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79359" w14:textId="356A7968" w:rsidR="005F3ADE" w:rsidRPr="00D12931" w:rsidRDefault="00064086" w:rsidP="001E0A0D">
      <w:pPr>
        <w:pStyle w:val="Title"/>
        <w:rPr>
          <w:color w:val="auto"/>
          <w:u w:val="single"/>
        </w:rPr>
      </w:pPr>
      <w:r>
        <w:rPr>
          <w:noProof/>
          <w:lang w:eastAsia="en-ZA"/>
        </w:rPr>
        <w:drawing>
          <wp:anchor distT="0" distB="0" distL="114300" distR="114300" simplePos="0" relativeHeight="251658240" behindDoc="0" locked="0" layoutInCell="1" allowOverlap="1" wp14:anchorId="5C23BD02" wp14:editId="2D0561B0">
            <wp:simplePos x="0" y="0"/>
            <wp:positionH relativeFrom="column">
              <wp:posOffset>1147445</wp:posOffset>
            </wp:positionH>
            <wp:positionV relativeFrom="paragraph">
              <wp:posOffset>0</wp:posOffset>
            </wp:positionV>
            <wp:extent cx="4133850" cy="11811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19481"/>
                    <a:stretch/>
                  </pic:blipFill>
                  <pic:spPr bwMode="auto">
                    <a:xfrm>
                      <a:off x="0" y="0"/>
                      <a:ext cx="4133850" cy="118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2931" w:rsidRPr="00D12931">
        <w:rPr>
          <w:color w:val="auto"/>
          <w:u w:val="single"/>
        </w:rPr>
        <w:t>PGDIP IN MANAGEMENT</w:t>
      </w:r>
    </w:p>
    <w:p w14:paraId="674CB6A4" w14:textId="77777777" w:rsidR="005F3ADE" w:rsidRDefault="005F3ADE" w:rsidP="00BC1975">
      <w:pPr>
        <w:pStyle w:val="Title"/>
        <w:ind w:firstLine="720"/>
        <w:jc w:val="both"/>
        <w:rPr>
          <w:color w:val="auto"/>
        </w:rPr>
      </w:pPr>
    </w:p>
    <w:p w14:paraId="0DEF5460" w14:textId="6D154A5C" w:rsidR="00BC1975" w:rsidRPr="001E0A0D" w:rsidRDefault="001E0A0D" w:rsidP="001E0A0D">
      <w:pPr>
        <w:jc w:val="center"/>
        <w:rPr>
          <w:rFonts w:cs="Tahoma"/>
          <w:b/>
          <w:bCs/>
          <w:sz w:val="36"/>
          <w:szCs w:val="28"/>
          <w:lang w:val="en-ZA"/>
        </w:rPr>
      </w:pPr>
      <w:r w:rsidRPr="001E0A0D">
        <w:rPr>
          <w:rFonts w:cs="Tahoma"/>
          <w:b/>
          <w:bCs/>
          <w:color w:val="222222"/>
          <w:sz w:val="40"/>
          <w:szCs w:val="40"/>
        </w:rPr>
        <w:t>A detailed account of the Glencore Labour Court case from 2016</w:t>
      </w:r>
    </w:p>
    <w:p w14:paraId="31848E83" w14:textId="3EABAB16" w:rsidR="00BC1975" w:rsidRPr="00BC1975" w:rsidRDefault="001E0A0D" w:rsidP="00BC1975">
      <w:pPr>
        <w:jc w:val="center"/>
        <w:rPr>
          <w:b/>
          <w:sz w:val="40"/>
          <w:lang w:val="en-ZA"/>
        </w:rPr>
      </w:pPr>
      <w:r>
        <w:rPr>
          <w:b/>
          <w:sz w:val="40"/>
          <w:lang w:val="en-ZA"/>
        </w:rPr>
        <w:t>BLLR 511</w:t>
      </w:r>
      <w:r w:rsidR="00064086">
        <w:rPr>
          <w:b/>
          <w:sz w:val="40"/>
          <w:lang w:val="en-ZA"/>
        </w:rPr>
        <w:t xml:space="preserve"> – Group 5 (Distance)</w:t>
      </w:r>
    </w:p>
    <w:p w14:paraId="455C14CD" w14:textId="2C8B7432" w:rsidR="00BC1975" w:rsidRPr="003B0F49" w:rsidRDefault="001E0A0D" w:rsidP="003B0F49">
      <w:pPr>
        <w:jc w:val="center"/>
        <w:rPr>
          <w:b/>
          <w:sz w:val="40"/>
          <w:lang w:val="en-ZA"/>
        </w:rPr>
      </w:pPr>
      <w:r>
        <w:rPr>
          <w:b/>
          <w:sz w:val="40"/>
          <w:lang w:val="en-ZA"/>
        </w:rPr>
        <w:t>Prof. Christoff Botha</w:t>
      </w:r>
    </w:p>
    <w:tbl>
      <w:tblPr>
        <w:tblStyle w:val="TableGrid"/>
        <w:tblW w:w="0" w:type="auto"/>
        <w:tblLook w:val="04A0" w:firstRow="1" w:lastRow="0" w:firstColumn="1" w:lastColumn="0" w:noHBand="0" w:noVBand="1"/>
      </w:tblPr>
      <w:tblGrid>
        <w:gridCol w:w="3115"/>
        <w:gridCol w:w="3115"/>
        <w:gridCol w:w="3115"/>
      </w:tblGrid>
      <w:tr w:rsidR="00BC1975" w:rsidRPr="00BC1975" w14:paraId="2A8D66DA" w14:textId="77777777" w:rsidTr="00064086">
        <w:tc>
          <w:tcPr>
            <w:tcW w:w="3115" w:type="dxa"/>
            <w:shd w:val="clear" w:color="auto" w:fill="D9D9D9" w:themeFill="background1" w:themeFillShade="D9"/>
          </w:tcPr>
          <w:p w14:paraId="7896D4CF" w14:textId="77777777" w:rsidR="00BC1975" w:rsidRPr="00BC1975" w:rsidRDefault="00BC1975">
            <w:pPr>
              <w:spacing w:after="120" w:line="240" w:lineRule="auto"/>
              <w:jc w:val="center"/>
              <w:rPr>
                <w:b/>
                <w:sz w:val="32"/>
                <w:szCs w:val="36"/>
              </w:rPr>
            </w:pPr>
            <w:r w:rsidRPr="00BC1975">
              <w:rPr>
                <w:b/>
                <w:sz w:val="32"/>
                <w:szCs w:val="36"/>
              </w:rPr>
              <w:t>Surname</w:t>
            </w:r>
          </w:p>
        </w:tc>
        <w:tc>
          <w:tcPr>
            <w:tcW w:w="3115" w:type="dxa"/>
            <w:shd w:val="clear" w:color="auto" w:fill="D9D9D9" w:themeFill="background1" w:themeFillShade="D9"/>
          </w:tcPr>
          <w:p w14:paraId="4D6F0F52" w14:textId="77777777" w:rsidR="00BC1975" w:rsidRPr="00BC1975" w:rsidRDefault="00BC1975">
            <w:pPr>
              <w:spacing w:after="120" w:line="240" w:lineRule="auto"/>
              <w:jc w:val="center"/>
              <w:rPr>
                <w:b/>
                <w:sz w:val="32"/>
                <w:szCs w:val="36"/>
              </w:rPr>
            </w:pPr>
            <w:r w:rsidRPr="00BC1975">
              <w:rPr>
                <w:b/>
                <w:sz w:val="32"/>
                <w:szCs w:val="36"/>
              </w:rPr>
              <w:t>Initials</w:t>
            </w:r>
          </w:p>
        </w:tc>
        <w:tc>
          <w:tcPr>
            <w:tcW w:w="3115" w:type="dxa"/>
            <w:shd w:val="clear" w:color="auto" w:fill="D9D9D9" w:themeFill="background1" w:themeFillShade="D9"/>
          </w:tcPr>
          <w:p w14:paraId="38AB9C06" w14:textId="77777777" w:rsidR="00BC1975" w:rsidRPr="00BC1975" w:rsidRDefault="00BC1975">
            <w:pPr>
              <w:spacing w:after="120" w:line="240" w:lineRule="auto"/>
              <w:jc w:val="center"/>
              <w:rPr>
                <w:b/>
                <w:sz w:val="32"/>
                <w:szCs w:val="36"/>
              </w:rPr>
            </w:pPr>
            <w:r w:rsidRPr="00BC1975">
              <w:rPr>
                <w:b/>
                <w:sz w:val="32"/>
                <w:szCs w:val="36"/>
              </w:rPr>
              <w:t>Student number</w:t>
            </w:r>
          </w:p>
        </w:tc>
      </w:tr>
      <w:tr w:rsidR="00BC1975" w:rsidRPr="00BC1975" w14:paraId="76057551" w14:textId="77777777" w:rsidTr="00BC1975">
        <w:tc>
          <w:tcPr>
            <w:tcW w:w="3115" w:type="dxa"/>
          </w:tcPr>
          <w:p w14:paraId="0DAF766A" w14:textId="27F13883" w:rsidR="00BC1975" w:rsidRPr="001E0A0D" w:rsidRDefault="001E0A0D" w:rsidP="001E0A0D">
            <w:pPr>
              <w:pStyle w:val="NormalWeb"/>
              <w:spacing w:after="0"/>
              <w:ind w:left="720"/>
              <w:rPr>
                <w:rFonts w:ascii="Tahoma" w:hAnsi="Tahoma" w:cs="Tahoma"/>
                <w:b/>
                <w:sz w:val="28"/>
                <w:szCs w:val="28"/>
              </w:rPr>
            </w:pPr>
            <w:r w:rsidRPr="001E0A0D">
              <w:rPr>
                <w:rFonts w:ascii="Tahoma" w:hAnsi="Tahoma" w:cs="Tahoma"/>
                <w:b/>
                <w:bCs/>
                <w:color w:val="222222"/>
                <w:sz w:val="28"/>
                <w:szCs w:val="28"/>
              </w:rPr>
              <w:t>Heathcote</w:t>
            </w:r>
          </w:p>
        </w:tc>
        <w:tc>
          <w:tcPr>
            <w:tcW w:w="3115" w:type="dxa"/>
          </w:tcPr>
          <w:p w14:paraId="1F5E8359" w14:textId="4068E160" w:rsidR="00BC1975" w:rsidRPr="001E0A0D" w:rsidRDefault="001E0A0D">
            <w:pPr>
              <w:spacing w:after="120" w:line="240" w:lineRule="auto"/>
              <w:jc w:val="center"/>
              <w:rPr>
                <w:rFonts w:cs="Tahoma"/>
                <w:b/>
                <w:sz w:val="28"/>
                <w:szCs w:val="28"/>
              </w:rPr>
            </w:pPr>
            <w:r w:rsidRPr="001E0A0D">
              <w:rPr>
                <w:rFonts w:cs="Tahoma"/>
                <w:b/>
                <w:sz w:val="28"/>
                <w:szCs w:val="28"/>
              </w:rPr>
              <w:t>K</w:t>
            </w:r>
          </w:p>
        </w:tc>
        <w:tc>
          <w:tcPr>
            <w:tcW w:w="3115" w:type="dxa"/>
          </w:tcPr>
          <w:p w14:paraId="07E1A1B6" w14:textId="2D7383E8" w:rsidR="00BC1975" w:rsidRPr="001E0A0D" w:rsidRDefault="001E0A0D">
            <w:pPr>
              <w:spacing w:after="120" w:line="240" w:lineRule="auto"/>
              <w:jc w:val="center"/>
              <w:rPr>
                <w:rFonts w:cs="Tahoma"/>
                <w:b/>
                <w:sz w:val="28"/>
                <w:szCs w:val="28"/>
              </w:rPr>
            </w:pPr>
            <w:r w:rsidRPr="001E0A0D">
              <w:rPr>
                <w:rFonts w:cs="Tahoma"/>
                <w:b/>
                <w:bCs/>
                <w:color w:val="222222"/>
                <w:sz w:val="28"/>
                <w:szCs w:val="28"/>
              </w:rPr>
              <w:t>28710118</w:t>
            </w:r>
          </w:p>
        </w:tc>
      </w:tr>
      <w:tr w:rsidR="003B0F49" w:rsidRPr="00BC1975" w14:paraId="0A19656A" w14:textId="77777777" w:rsidTr="00BC1975">
        <w:tc>
          <w:tcPr>
            <w:tcW w:w="3115" w:type="dxa"/>
          </w:tcPr>
          <w:p w14:paraId="4A729917" w14:textId="7BDE1CEF" w:rsidR="003B0F49" w:rsidRPr="001E0A0D" w:rsidRDefault="001E0A0D" w:rsidP="001E0A0D">
            <w:pPr>
              <w:pStyle w:val="NormalWeb"/>
              <w:spacing w:after="0"/>
              <w:ind w:left="720"/>
              <w:rPr>
                <w:rFonts w:ascii="Tahoma" w:hAnsi="Tahoma" w:cs="Tahoma"/>
                <w:b/>
                <w:sz w:val="28"/>
                <w:szCs w:val="28"/>
              </w:rPr>
            </w:pPr>
            <w:r w:rsidRPr="001E0A0D">
              <w:rPr>
                <w:rFonts w:ascii="Tahoma" w:hAnsi="Tahoma" w:cs="Tahoma"/>
                <w:b/>
                <w:bCs/>
                <w:color w:val="222222"/>
                <w:sz w:val="28"/>
                <w:szCs w:val="28"/>
              </w:rPr>
              <w:t>Heyns</w:t>
            </w:r>
          </w:p>
        </w:tc>
        <w:tc>
          <w:tcPr>
            <w:tcW w:w="3115" w:type="dxa"/>
          </w:tcPr>
          <w:p w14:paraId="2967DA27" w14:textId="6270633D" w:rsidR="003B0F49" w:rsidRPr="001E0A0D" w:rsidRDefault="001E0A0D">
            <w:pPr>
              <w:spacing w:after="120" w:line="240" w:lineRule="auto"/>
              <w:jc w:val="center"/>
              <w:rPr>
                <w:rFonts w:cs="Tahoma"/>
                <w:b/>
                <w:sz w:val="28"/>
                <w:szCs w:val="28"/>
              </w:rPr>
            </w:pPr>
            <w:r w:rsidRPr="001E0A0D">
              <w:rPr>
                <w:rFonts w:cs="Tahoma"/>
                <w:b/>
                <w:sz w:val="28"/>
                <w:szCs w:val="28"/>
              </w:rPr>
              <w:t>R</w:t>
            </w:r>
          </w:p>
        </w:tc>
        <w:tc>
          <w:tcPr>
            <w:tcW w:w="3115" w:type="dxa"/>
          </w:tcPr>
          <w:p w14:paraId="1028D8FF" w14:textId="2ACC86C6" w:rsidR="003B0F49" w:rsidRPr="001E0A0D" w:rsidRDefault="001E0A0D">
            <w:pPr>
              <w:spacing w:after="120" w:line="240" w:lineRule="auto"/>
              <w:jc w:val="center"/>
              <w:rPr>
                <w:rFonts w:cs="Tahoma"/>
                <w:b/>
                <w:sz w:val="28"/>
                <w:szCs w:val="28"/>
              </w:rPr>
            </w:pPr>
            <w:r w:rsidRPr="001E0A0D">
              <w:rPr>
                <w:rFonts w:cs="Tahoma"/>
                <w:b/>
                <w:bCs/>
                <w:color w:val="222222"/>
                <w:sz w:val="28"/>
                <w:szCs w:val="28"/>
              </w:rPr>
              <w:t>26019868</w:t>
            </w:r>
          </w:p>
        </w:tc>
      </w:tr>
      <w:tr w:rsidR="003B0F49" w:rsidRPr="00BC1975" w14:paraId="434C179C" w14:textId="77777777" w:rsidTr="00BC1975">
        <w:tc>
          <w:tcPr>
            <w:tcW w:w="3115" w:type="dxa"/>
          </w:tcPr>
          <w:p w14:paraId="0B543E85" w14:textId="076B598D" w:rsidR="003B0F49" w:rsidRPr="001E0A0D" w:rsidRDefault="001E0A0D" w:rsidP="001E0A0D">
            <w:pPr>
              <w:pStyle w:val="NormalWeb"/>
              <w:spacing w:after="0"/>
              <w:ind w:left="720"/>
              <w:rPr>
                <w:rFonts w:ascii="Tahoma" w:hAnsi="Tahoma" w:cs="Tahoma"/>
                <w:sz w:val="28"/>
                <w:szCs w:val="28"/>
              </w:rPr>
            </w:pPr>
            <w:r w:rsidRPr="001E0A0D">
              <w:rPr>
                <w:rFonts w:ascii="Tahoma" w:hAnsi="Tahoma" w:cs="Tahoma"/>
                <w:b/>
                <w:bCs/>
                <w:color w:val="222222"/>
                <w:sz w:val="28"/>
                <w:szCs w:val="28"/>
              </w:rPr>
              <w:t>Hlatshwayo</w:t>
            </w:r>
          </w:p>
        </w:tc>
        <w:tc>
          <w:tcPr>
            <w:tcW w:w="3115" w:type="dxa"/>
          </w:tcPr>
          <w:p w14:paraId="39EF31D5" w14:textId="5C878A10" w:rsidR="003B0F49" w:rsidRPr="001E0A0D" w:rsidRDefault="001E0A0D">
            <w:pPr>
              <w:spacing w:after="120" w:line="240" w:lineRule="auto"/>
              <w:jc w:val="center"/>
              <w:rPr>
                <w:rFonts w:cs="Tahoma"/>
                <w:b/>
                <w:sz w:val="28"/>
                <w:szCs w:val="28"/>
              </w:rPr>
            </w:pPr>
            <w:r w:rsidRPr="001E0A0D">
              <w:rPr>
                <w:rFonts w:cs="Tahoma"/>
                <w:b/>
                <w:sz w:val="28"/>
                <w:szCs w:val="28"/>
              </w:rPr>
              <w:t>O</w:t>
            </w:r>
          </w:p>
        </w:tc>
        <w:tc>
          <w:tcPr>
            <w:tcW w:w="3115" w:type="dxa"/>
          </w:tcPr>
          <w:p w14:paraId="28579717" w14:textId="029160CB" w:rsidR="003B0F49" w:rsidRPr="001E0A0D" w:rsidRDefault="001E0A0D">
            <w:pPr>
              <w:spacing w:after="120" w:line="240" w:lineRule="auto"/>
              <w:jc w:val="center"/>
              <w:rPr>
                <w:rFonts w:cs="Tahoma"/>
                <w:b/>
                <w:sz w:val="28"/>
                <w:szCs w:val="28"/>
              </w:rPr>
            </w:pPr>
            <w:r w:rsidRPr="001E0A0D">
              <w:rPr>
                <w:rFonts w:cs="Tahoma"/>
                <w:b/>
                <w:bCs/>
                <w:color w:val="222222"/>
                <w:sz w:val="28"/>
                <w:szCs w:val="28"/>
              </w:rPr>
              <w:t>35317124</w:t>
            </w:r>
          </w:p>
        </w:tc>
      </w:tr>
      <w:tr w:rsidR="003B0F49" w:rsidRPr="00BC1975" w14:paraId="01D66FC5" w14:textId="77777777" w:rsidTr="00BC1975">
        <w:tc>
          <w:tcPr>
            <w:tcW w:w="3115" w:type="dxa"/>
          </w:tcPr>
          <w:p w14:paraId="593295BC" w14:textId="46F598F4" w:rsidR="003B0F49" w:rsidRPr="001E0A0D" w:rsidRDefault="001E0A0D" w:rsidP="001E0A0D">
            <w:pPr>
              <w:pStyle w:val="NormalWeb"/>
              <w:spacing w:after="0"/>
              <w:ind w:left="720"/>
              <w:rPr>
                <w:rFonts w:ascii="Tahoma" w:hAnsi="Tahoma" w:cs="Tahoma"/>
                <w:sz w:val="28"/>
                <w:szCs w:val="28"/>
              </w:rPr>
            </w:pPr>
            <w:r w:rsidRPr="001E0A0D">
              <w:rPr>
                <w:rFonts w:ascii="Tahoma" w:hAnsi="Tahoma" w:cs="Tahoma"/>
                <w:b/>
                <w:bCs/>
                <w:color w:val="222222"/>
                <w:sz w:val="28"/>
                <w:szCs w:val="28"/>
              </w:rPr>
              <w:t>Hlongo</w:t>
            </w:r>
          </w:p>
        </w:tc>
        <w:tc>
          <w:tcPr>
            <w:tcW w:w="3115" w:type="dxa"/>
          </w:tcPr>
          <w:p w14:paraId="04A733E1" w14:textId="4EEC1280" w:rsidR="003B0F49" w:rsidRPr="001E0A0D" w:rsidRDefault="001E0A0D">
            <w:pPr>
              <w:spacing w:after="120" w:line="240" w:lineRule="auto"/>
              <w:jc w:val="center"/>
              <w:rPr>
                <w:rFonts w:cs="Tahoma"/>
                <w:b/>
                <w:sz w:val="28"/>
                <w:szCs w:val="28"/>
              </w:rPr>
            </w:pPr>
            <w:r w:rsidRPr="001E0A0D">
              <w:rPr>
                <w:rFonts w:cs="Tahoma"/>
                <w:b/>
                <w:sz w:val="28"/>
                <w:szCs w:val="28"/>
              </w:rPr>
              <w:t>N</w:t>
            </w:r>
          </w:p>
        </w:tc>
        <w:tc>
          <w:tcPr>
            <w:tcW w:w="3115" w:type="dxa"/>
          </w:tcPr>
          <w:p w14:paraId="1D7DE567" w14:textId="52E9E612" w:rsidR="003B0F49" w:rsidRPr="001E0A0D" w:rsidRDefault="001E0A0D">
            <w:pPr>
              <w:spacing w:after="120" w:line="240" w:lineRule="auto"/>
              <w:jc w:val="center"/>
              <w:rPr>
                <w:rFonts w:cs="Tahoma"/>
                <w:b/>
                <w:sz w:val="28"/>
                <w:szCs w:val="28"/>
              </w:rPr>
            </w:pPr>
            <w:r w:rsidRPr="001E0A0D">
              <w:rPr>
                <w:rFonts w:cs="Tahoma"/>
                <w:b/>
                <w:bCs/>
                <w:color w:val="222222"/>
                <w:sz w:val="28"/>
                <w:szCs w:val="28"/>
              </w:rPr>
              <w:t>38330806</w:t>
            </w:r>
          </w:p>
        </w:tc>
      </w:tr>
      <w:tr w:rsidR="003B0F49" w:rsidRPr="00BC1975" w14:paraId="685B5D37" w14:textId="77777777" w:rsidTr="00BC1975">
        <w:tc>
          <w:tcPr>
            <w:tcW w:w="3115" w:type="dxa"/>
          </w:tcPr>
          <w:p w14:paraId="1A8A99C2" w14:textId="332738F2" w:rsidR="003B0F49" w:rsidRPr="001E0A0D" w:rsidRDefault="001E0A0D" w:rsidP="001E0A0D">
            <w:pPr>
              <w:pStyle w:val="NormalWeb"/>
              <w:spacing w:after="0"/>
              <w:ind w:left="720"/>
              <w:rPr>
                <w:rFonts w:ascii="Tahoma" w:hAnsi="Tahoma" w:cs="Tahoma"/>
                <w:sz w:val="28"/>
                <w:szCs w:val="28"/>
              </w:rPr>
            </w:pPr>
            <w:r w:rsidRPr="001E0A0D">
              <w:rPr>
                <w:rFonts w:ascii="Tahoma" w:hAnsi="Tahoma" w:cs="Tahoma"/>
                <w:b/>
                <w:bCs/>
                <w:color w:val="222222"/>
                <w:sz w:val="28"/>
                <w:szCs w:val="28"/>
              </w:rPr>
              <w:t>Holliday</w:t>
            </w:r>
          </w:p>
        </w:tc>
        <w:tc>
          <w:tcPr>
            <w:tcW w:w="3115" w:type="dxa"/>
          </w:tcPr>
          <w:p w14:paraId="52395C01" w14:textId="04A1FA5B" w:rsidR="003B0F49" w:rsidRPr="001E0A0D" w:rsidRDefault="001E0A0D">
            <w:pPr>
              <w:spacing w:after="120" w:line="240" w:lineRule="auto"/>
              <w:jc w:val="center"/>
              <w:rPr>
                <w:rFonts w:cs="Tahoma"/>
                <w:b/>
                <w:sz w:val="28"/>
                <w:szCs w:val="28"/>
              </w:rPr>
            </w:pPr>
            <w:r w:rsidRPr="001E0A0D">
              <w:rPr>
                <w:rFonts w:cs="Tahoma"/>
                <w:b/>
                <w:sz w:val="28"/>
                <w:szCs w:val="28"/>
              </w:rPr>
              <w:t>Z</w:t>
            </w:r>
          </w:p>
        </w:tc>
        <w:tc>
          <w:tcPr>
            <w:tcW w:w="3115" w:type="dxa"/>
          </w:tcPr>
          <w:p w14:paraId="7D8B6980" w14:textId="445F39AB" w:rsidR="003B0F49" w:rsidRPr="001E0A0D" w:rsidRDefault="001E0A0D">
            <w:pPr>
              <w:spacing w:after="120" w:line="240" w:lineRule="auto"/>
              <w:jc w:val="center"/>
              <w:rPr>
                <w:rFonts w:cs="Tahoma"/>
                <w:b/>
                <w:sz w:val="28"/>
                <w:szCs w:val="28"/>
              </w:rPr>
            </w:pPr>
            <w:r w:rsidRPr="001E0A0D">
              <w:rPr>
                <w:rFonts w:cs="Tahoma"/>
                <w:b/>
                <w:bCs/>
                <w:color w:val="222222"/>
                <w:sz w:val="28"/>
                <w:szCs w:val="28"/>
              </w:rPr>
              <w:t>28997069</w:t>
            </w:r>
          </w:p>
        </w:tc>
      </w:tr>
      <w:tr w:rsidR="003B0F49" w:rsidRPr="00BC1975" w14:paraId="127488EC" w14:textId="77777777" w:rsidTr="00BC1975">
        <w:tc>
          <w:tcPr>
            <w:tcW w:w="3115" w:type="dxa"/>
          </w:tcPr>
          <w:p w14:paraId="141401CA" w14:textId="3A0A9DDC" w:rsidR="003B0F49" w:rsidRPr="001E0A0D" w:rsidRDefault="001E0A0D" w:rsidP="001E0A0D">
            <w:pPr>
              <w:pStyle w:val="NormalWeb"/>
              <w:spacing w:after="0"/>
              <w:ind w:left="720"/>
              <w:rPr>
                <w:rFonts w:ascii="Tahoma" w:hAnsi="Tahoma" w:cs="Tahoma"/>
                <w:sz w:val="28"/>
                <w:szCs w:val="28"/>
              </w:rPr>
            </w:pPr>
            <w:r w:rsidRPr="001E0A0D">
              <w:rPr>
                <w:rFonts w:ascii="Tahoma" w:hAnsi="Tahoma" w:cs="Tahoma"/>
                <w:b/>
                <w:bCs/>
                <w:color w:val="222222"/>
                <w:sz w:val="28"/>
                <w:szCs w:val="28"/>
              </w:rPr>
              <w:t>Immelman</w:t>
            </w:r>
          </w:p>
        </w:tc>
        <w:tc>
          <w:tcPr>
            <w:tcW w:w="3115" w:type="dxa"/>
          </w:tcPr>
          <w:p w14:paraId="5E95710E" w14:textId="4A7E5933" w:rsidR="003B0F49" w:rsidRPr="001E0A0D" w:rsidRDefault="001E0A0D">
            <w:pPr>
              <w:spacing w:after="120" w:line="240" w:lineRule="auto"/>
              <w:jc w:val="center"/>
              <w:rPr>
                <w:rFonts w:cs="Tahoma"/>
                <w:b/>
                <w:sz w:val="28"/>
                <w:szCs w:val="28"/>
              </w:rPr>
            </w:pPr>
            <w:r w:rsidRPr="001E0A0D">
              <w:rPr>
                <w:rFonts w:cs="Tahoma"/>
                <w:b/>
                <w:sz w:val="28"/>
                <w:szCs w:val="28"/>
              </w:rPr>
              <w:t>W</w:t>
            </w:r>
          </w:p>
        </w:tc>
        <w:tc>
          <w:tcPr>
            <w:tcW w:w="3115" w:type="dxa"/>
          </w:tcPr>
          <w:p w14:paraId="261F1BA6" w14:textId="2EEE13BC" w:rsidR="003B0F49" w:rsidRPr="001E0A0D" w:rsidRDefault="001E0A0D">
            <w:pPr>
              <w:spacing w:after="120" w:line="240" w:lineRule="auto"/>
              <w:jc w:val="center"/>
              <w:rPr>
                <w:rFonts w:cs="Tahoma"/>
                <w:b/>
                <w:sz w:val="28"/>
                <w:szCs w:val="28"/>
              </w:rPr>
            </w:pPr>
            <w:r w:rsidRPr="001E0A0D">
              <w:rPr>
                <w:rFonts w:cs="Tahoma"/>
                <w:b/>
                <w:bCs/>
                <w:color w:val="222222"/>
                <w:sz w:val="28"/>
                <w:szCs w:val="28"/>
              </w:rPr>
              <w:t>21101833</w:t>
            </w:r>
          </w:p>
        </w:tc>
      </w:tr>
      <w:tr w:rsidR="003B0F49" w:rsidRPr="00BC1975" w14:paraId="2FE3A2CD" w14:textId="77777777" w:rsidTr="00BC1975">
        <w:tc>
          <w:tcPr>
            <w:tcW w:w="3115" w:type="dxa"/>
          </w:tcPr>
          <w:p w14:paraId="1BB58281" w14:textId="1B1C3359" w:rsidR="003B0F49" w:rsidRPr="001E0A0D" w:rsidRDefault="001E0A0D" w:rsidP="001E0A0D">
            <w:pPr>
              <w:pStyle w:val="NormalWeb"/>
              <w:spacing w:after="0"/>
              <w:ind w:left="720"/>
              <w:rPr>
                <w:rFonts w:ascii="Tahoma" w:hAnsi="Tahoma" w:cs="Tahoma"/>
                <w:sz w:val="28"/>
                <w:szCs w:val="28"/>
              </w:rPr>
            </w:pPr>
            <w:r w:rsidRPr="001E0A0D">
              <w:rPr>
                <w:rFonts w:ascii="Tahoma" w:hAnsi="Tahoma" w:cs="Tahoma"/>
                <w:b/>
                <w:bCs/>
                <w:color w:val="222222"/>
                <w:sz w:val="28"/>
                <w:szCs w:val="28"/>
              </w:rPr>
              <w:t>Jaas</w:t>
            </w:r>
          </w:p>
        </w:tc>
        <w:tc>
          <w:tcPr>
            <w:tcW w:w="3115" w:type="dxa"/>
          </w:tcPr>
          <w:p w14:paraId="1D5C4E41" w14:textId="74AFCA61" w:rsidR="003B0F49" w:rsidRPr="001E0A0D" w:rsidRDefault="001E0A0D">
            <w:pPr>
              <w:spacing w:after="120" w:line="240" w:lineRule="auto"/>
              <w:jc w:val="center"/>
              <w:rPr>
                <w:rFonts w:cs="Tahoma"/>
                <w:b/>
                <w:sz w:val="28"/>
                <w:szCs w:val="28"/>
              </w:rPr>
            </w:pPr>
            <w:r w:rsidRPr="001E0A0D">
              <w:rPr>
                <w:rFonts w:cs="Tahoma"/>
                <w:b/>
                <w:sz w:val="28"/>
                <w:szCs w:val="28"/>
              </w:rPr>
              <w:t>B</w:t>
            </w:r>
          </w:p>
        </w:tc>
        <w:tc>
          <w:tcPr>
            <w:tcW w:w="3115" w:type="dxa"/>
          </w:tcPr>
          <w:p w14:paraId="7932E0B6" w14:textId="6509A3C7" w:rsidR="003B0F49" w:rsidRPr="001E0A0D" w:rsidRDefault="001E0A0D">
            <w:pPr>
              <w:spacing w:after="120" w:line="240" w:lineRule="auto"/>
              <w:jc w:val="center"/>
              <w:rPr>
                <w:rFonts w:cs="Tahoma"/>
                <w:b/>
                <w:sz w:val="28"/>
                <w:szCs w:val="28"/>
              </w:rPr>
            </w:pPr>
            <w:r w:rsidRPr="001E0A0D">
              <w:rPr>
                <w:rFonts w:cs="Tahoma"/>
                <w:b/>
                <w:bCs/>
                <w:color w:val="222222"/>
                <w:sz w:val="28"/>
                <w:szCs w:val="28"/>
              </w:rPr>
              <w:t>37089498</w:t>
            </w:r>
          </w:p>
        </w:tc>
      </w:tr>
      <w:tr w:rsidR="003B0F49" w:rsidRPr="00BC1975" w14:paraId="3CD28B60" w14:textId="77777777" w:rsidTr="00BC1975">
        <w:tc>
          <w:tcPr>
            <w:tcW w:w="3115" w:type="dxa"/>
          </w:tcPr>
          <w:p w14:paraId="4AE94F8A" w14:textId="3D1265C9" w:rsidR="003B0F49" w:rsidRPr="001E0A0D" w:rsidRDefault="001E0A0D" w:rsidP="001E0A0D">
            <w:pPr>
              <w:pStyle w:val="NormalWeb"/>
              <w:spacing w:after="0"/>
              <w:ind w:left="720"/>
              <w:rPr>
                <w:rFonts w:ascii="Tahoma" w:hAnsi="Tahoma" w:cs="Tahoma"/>
                <w:sz w:val="28"/>
                <w:szCs w:val="28"/>
              </w:rPr>
            </w:pPr>
            <w:r w:rsidRPr="001E0A0D">
              <w:rPr>
                <w:rFonts w:ascii="Tahoma" w:hAnsi="Tahoma" w:cs="Tahoma"/>
                <w:b/>
                <w:bCs/>
                <w:color w:val="222222"/>
                <w:sz w:val="28"/>
                <w:szCs w:val="28"/>
              </w:rPr>
              <w:t>Jeeva</w:t>
            </w:r>
          </w:p>
        </w:tc>
        <w:tc>
          <w:tcPr>
            <w:tcW w:w="3115" w:type="dxa"/>
          </w:tcPr>
          <w:p w14:paraId="739D3C65" w14:textId="106CC0F0" w:rsidR="003B0F49" w:rsidRPr="001E0A0D" w:rsidRDefault="001E0A0D">
            <w:pPr>
              <w:spacing w:after="120" w:line="240" w:lineRule="auto"/>
              <w:jc w:val="center"/>
              <w:rPr>
                <w:rFonts w:cs="Tahoma"/>
                <w:b/>
                <w:sz w:val="28"/>
                <w:szCs w:val="28"/>
              </w:rPr>
            </w:pPr>
            <w:r w:rsidRPr="001E0A0D">
              <w:rPr>
                <w:rFonts w:cs="Tahoma"/>
                <w:b/>
                <w:sz w:val="28"/>
                <w:szCs w:val="28"/>
              </w:rPr>
              <w:t>T</w:t>
            </w:r>
          </w:p>
        </w:tc>
        <w:tc>
          <w:tcPr>
            <w:tcW w:w="3115" w:type="dxa"/>
          </w:tcPr>
          <w:p w14:paraId="7222D1AB" w14:textId="1422F963" w:rsidR="003B0F49" w:rsidRPr="001E0A0D" w:rsidRDefault="001E0A0D">
            <w:pPr>
              <w:spacing w:after="120" w:line="240" w:lineRule="auto"/>
              <w:jc w:val="center"/>
              <w:rPr>
                <w:rFonts w:cs="Tahoma"/>
                <w:b/>
                <w:sz w:val="28"/>
                <w:szCs w:val="28"/>
              </w:rPr>
            </w:pPr>
            <w:r w:rsidRPr="001E0A0D">
              <w:rPr>
                <w:rFonts w:cs="Tahoma"/>
                <w:b/>
                <w:bCs/>
                <w:color w:val="222222"/>
                <w:sz w:val="28"/>
                <w:szCs w:val="28"/>
              </w:rPr>
              <w:t>29929067</w:t>
            </w:r>
          </w:p>
        </w:tc>
      </w:tr>
      <w:tr w:rsidR="003B0F49" w:rsidRPr="00BC1975" w14:paraId="71EC8511" w14:textId="77777777" w:rsidTr="00BC1975">
        <w:tc>
          <w:tcPr>
            <w:tcW w:w="3115" w:type="dxa"/>
          </w:tcPr>
          <w:p w14:paraId="7439BE42" w14:textId="3BAAE4F8" w:rsidR="003B0F49" w:rsidRPr="001E0A0D" w:rsidRDefault="001E0A0D" w:rsidP="001E0A0D">
            <w:pPr>
              <w:pStyle w:val="NormalWeb"/>
              <w:spacing w:after="0"/>
              <w:ind w:left="720"/>
              <w:rPr>
                <w:rFonts w:ascii="Tahoma" w:hAnsi="Tahoma" w:cs="Tahoma"/>
                <w:sz w:val="28"/>
                <w:szCs w:val="28"/>
              </w:rPr>
            </w:pPr>
            <w:r w:rsidRPr="001E0A0D">
              <w:rPr>
                <w:rFonts w:ascii="Tahoma" w:hAnsi="Tahoma" w:cs="Tahoma"/>
                <w:b/>
                <w:bCs/>
                <w:color w:val="222222"/>
                <w:sz w:val="28"/>
                <w:szCs w:val="28"/>
              </w:rPr>
              <w:t>Jele-Molalugi</w:t>
            </w:r>
          </w:p>
        </w:tc>
        <w:tc>
          <w:tcPr>
            <w:tcW w:w="3115" w:type="dxa"/>
          </w:tcPr>
          <w:p w14:paraId="6644E8C1" w14:textId="69EB11B8" w:rsidR="003B0F49" w:rsidRPr="001E0A0D" w:rsidRDefault="001E0A0D">
            <w:pPr>
              <w:spacing w:after="120" w:line="240" w:lineRule="auto"/>
              <w:jc w:val="center"/>
              <w:rPr>
                <w:rFonts w:cs="Tahoma"/>
                <w:b/>
                <w:sz w:val="28"/>
                <w:szCs w:val="28"/>
              </w:rPr>
            </w:pPr>
            <w:r w:rsidRPr="001E0A0D">
              <w:rPr>
                <w:rFonts w:cs="Tahoma"/>
                <w:b/>
                <w:sz w:val="28"/>
                <w:szCs w:val="28"/>
              </w:rPr>
              <w:t>J</w:t>
            </w:r>
          </w:p>
        </w:tc>
        <w:tc>
          <w:tcPr>
            <w:tcW w:w="3115" w:type="dxa"/>
          </w:tcPr>
          <w:p w14:paraId="7CA21AD6" w14:textId="67FEA0AE" w:rsidR="003B0F49" w:rsidRPr="001E0A0D" w:rsidRDefault="001E0A0D">
            <w:pPr>
              <w:spacing w:after="120" w:line="240" w:lineRule="auto"/>
              <w:jc w:val="center"/>
              <w:rPr>
                <w:rFonts w:cs="Tahoma"/>
                <w:b/>
                <w:sz w:val="28"/>
                <w:szCs w:val="28"/>
              </w:rPr>
            </w:pPr>
            <w:r w:rsidRPr="001E0A0D">
              <w:rPr>
                <w:rFonts w:cs="Tahoma"/>
                <w:b/>
                <w:bCs/>
                <w:color w:val="222222"/>
                <w:sz w:val="28"/>
                <w:szCs w:val="28"/>
              </w:rPr>
              <w:t>33311234</w:t>
            </w:r>
          </w:p>
        </w:tc>
      </w:tr>
      <w:tr w:rsidR="003B0F49" w:rsidRPr="00BC1975" w14:paraId="4B0E0E19" w14:textId="77777777" w:rsidTr="00BC1975">
        <w:tc>
          <w:tcPr>
            <w:tcW w:w="3115" w:type="dxa"/>
          </w:tcPr>
          <w:p w14:paraId="19B9CACC" w14:textId="798BF478" w:rsidR="003B0F49" w:rsidRPr="001E0A0D" w:rsidRDefault="001E0A0D" w:rsidP="001E0A0D">
            <w:pPr>
              <w:pStyle w:val="NormalWeb"/>
              <w:spacing w:after="0"/>
              <w:ind w:left="720"/>
              <w:rPr>
                <w:rFonts w:ascii="Tahoma" w:hAnsi="Tahoma" w:cs="Tahoma"/>
                <w:sz w:val="28"/>
                <w:szCs w:val="28"/>
              </w:rPr>
            </w:pPr>
            <w:r w:rsidRPr="001E0A0D">
              <w:rPr>
                <w:rFonts w:ascii="Tahoma" w:hAnsi="Tahoma" w:cs="Tahoma"/>
                <w:b/>
                <w:bCs/>
                <w:color w:val="222222"/>
                <w:sz w:val="28"/>
                <w:szCs w:val="28"/>
              </w:rPr>
              <w:t>Jiri</w:t>
            </w:r>
          </w:p>
        </w:tc>
        <w:tc>
          <w:tcPr>
            <w:tcW w:w="3115" w:type="dxa"/>
          </w:tcPr>
          <w:p w14:paraId="07A5C410" w14:textId="70EA041D" w:rsidR="003B0F49" w:rsidRPr="001E0A0D" w:rsidRDefault="001E0A0D">
            <w:pPr>
              <w:spacing w:after="120" w:line="240" w:lineRule="auto"/>
              <w:jc w:val="center"/>
              <w:rPr>
                <w:rFonts w:cs="Tahoma"/>
                <w:b/>
                <w:sz w:val="28"/>
                <w:szCs w:val="28"/>
              </w:rPr>
            </w:pPr>
            <w:r w:rsidRPr="001E0A0D">
              <w:rPr>
                <w:rFonts w:cs="Tahoma"/>
                <w:b/>
                <w:sz w:val="28"/>
                <w:szCs w:val="28"/>
              </w:rPr>
              <w:t>H</w:t>
            </w:r>
          </w:p>
        </w:tc>
        <w:tc>
          <w:tcPr>
            <w:tcW w:w="3115" w:type="dxa"/>
          </w:tcPr>
          <w:p w14:paraId="7D5F4604" w14:textId="7F7E4B46" w:rsidR="003B0F49" w:rsidRPr="001E0A0D" w:rsidRDefault="001E0A0D">
            <w:pPr>
              <w:spacing w:after="120" w:line="240" w:lineRule="auto"/>
              <w:jc w:val="center"/>
              <w:rPr>
                <w:rFonts w:cs="Tahoma"/>
                <w:b/>
                <w:sz w:val="28"/>
                <w:szCs w:val="28"/>
              </w:rPr>
            </w:pPr>
            <w:r w:rsidRPr="001E0A0D">
              <w:rPr>
                <w:rFonts w:cs="Tahoma"/>
                <w:b/>
                <w:bCs/>
                <w:color w:val="222222"/>
                <w:sz w:val="28"/>
                <w:szCs w:val="28"/>
              </w:rPr>
              <w:t>38414287</w:t>
            </w:r>
          </w:p>
        </w:tc>
      </w:tr>
    </w:tbl>
    <w:p w14:paraId="753FBEA7" w14:textId="77777777" w:rsidR="005F3ADE" w:rsidRDefault="005F3ADE">
      <w:pPr>
        <w:pStyle w:val="Month"/>
        <w:rPr>
          <w:sz w:val="32"/>
          <w:szCs w:val="32"/>
        </w:rPr>
      </w:pPr>
    </w:p>
    <w:p w14:paraId="29820A40" w14:textId="50C04945" w:rsidR="005F3ADE" w:rsidRDefault="008D5D1C">
      <w:pPr>
        <w:pStyle w:val="Month"/>
        <w:rPr>
          <w:sz w:val="32"/>
          <w:szCs w:val="32"/>
        </w:rPr>
      </w:pPr>
      <w:r>
        <w:rPr>
          <w:sz w:val="32"/>
          <w:szCs w:val="32"/>
        </w:rPr>
        <w:t xml:space="preserve">Date of submission: </w:t>
      </w:r>
      <w:r w:rsidR="00064086">
        <w:rPr>
          <w:sz w:val="32"/>
          <w:szCs w:val="32"/>
        </w:rPr>
        <w:t>10 May 2021</w:t>
      </w:r>
    </w:p>
    <w:p w14:paraId="7BC7C8A2" w14:textId="77777777" w:rsidR="00064086" w:rsidRDefault="00064086">
      <w:pPr>
        <w:pStyle w:val="Month"/>
        <w:rPr>
          <w:sz w:val="32"/>
          <w:szCs w:val="32"/>
        </w:rPr>
      </w:pPr>
    </w:p>
    <w:p w14:paraId="4852645F" w14:textId="77777777" w:rsidR="001E0A0D" w:rsidRPr="00064086" w:rsidRDefault="001E0A0D" w:rsidP="0044077B">
      <w:pPr>
        <w:pStyle w:val="NormalWeb"/>
        <w:spacing w:before="240" w:after="0"/>
        <w:jc w:val="left"/>
        <w:rPr>
          <w:sz w:val="32"/>
          <w:szCs w:val="32"/>
        </w:rPr>
      </w:pPr>
      <w:r w:rsidRPr="00064086">
        <w:rPr>
          <w:rFonts w:ascii="Arial" w:hAnsi="Arial" w:cs="Arial"/>
          <w:b/>
          <w:bCs/>
          <w:color w:val="222222"/>
          <w:sz w:val="28"/>
          <w:szCs w:val="28"/>
        </w:rPr>
        <w:lastRenderedPageBreak/>
        <w:t>Table of content:</w:t>
      </w:r>
    </w:p>
    <w:p w14:paraId="1BE167BB" w14:textId="505D9C67" w:rsidR="001E0A0D" w:rsidRPr="00064086" w:rsidRDefault="001E0A0D" w:rsidP="0044077B">
      <w:pPr>
        <w:pStyle w:val="NormalWeb"/>
        <w:numPr>
          <w:ilvl w:val="0"/>
          <w:numId w:val="29"/>
        </w:numPr>
        <w:spacing w:before="240" w:after="0"/>
        <w:jc w:val="left"/>
        <w:textAlignment w:val="baseline"/>
        <w:rPr>
          <w:rFonts w:ascii="Arial" w:hAnsi="Arial" w:cs="Arial"/>
          <w:b/>
          <w:bCs/>
          <w:color w:val="222222"/>
        </w:rPr>
      </w:pPr>
      <w:r w:rsidRPr="00064086">
        <w:rPr>
          <w:rFonts w:ascii="Arial" w:hAnsi="Arial" w:cs="Arial"/>
          <w:b/>
          <w:bCs/>
          <w:color w:val="222222"/>
        </w:rPr>
        <w:t>Introduction and background</w:t>
      </w:r>
      <w:r w:rsidRPr="00064086">
        <w:rPr>
          <w:rStyle w:val="apple-tab-span"/>
          <w:rFonts w:ascii="Arial" w:hAnsi="Arial" w:cs="Arial"/>
          <w:b/>
          <w:bCs/>
          <w:color w:val="222222"/>
        </w:rPr>
        <w:tab/>
      </w:r>
      <w:r w:rsidRPr="00064086">
        <w:rPr>
          <w:rStyle w:val="apple-tab-span"/>
          <w:rFonts w:ascii="Arial" w:hAnsi="Arial" w:cs="Arial"/>
          <w:b/>
          <w:bCs/>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00C21000">
        <w:rPr>
          <w:rFonts w:ascii="Arial" w:hAnsi="Arial" w:cs="Arial"/>
          <w:color w:val="222222"/>
        </w:rPr>
        <w:t>3</w:t>
      </w:r>
    </w:p>
    <w:p w14:paraId="315534E5" w14:textId="1B5FA5B3" w:rsidR="001E0A0D" w:rsidRPr="00064086" w:rsidRDefault="001E0A0D" w:rsidP="0044077B">
      <w:pPr>
        <w:pStyle w:val="NormalWeb"/>
        <w:numPr>
          <w:ilvl w:val="0"/>
          <w:numId w:val="29"/>
        </w:numPr>
        <w:spacing w:after="0"/>
        <w:jc w:val="left"/>
        <w:textAlignment w:val="baseline"/>
        <w:rPr>
          <w:rFonts w:ascii="Arial" w:hAnsi="Arial" w:cs="Arial"/>
          <w:b/>
          <w:bCs/>
          <w:color w:val="222222"/>
        </w:rPr>
      </w:pPr>
      <w:r w:rsidRPr="00064086">
        <w:rPr>
          <w:rFonts w:ascii="Arial" w:hAnsi="Arial" w:cs="Arial"/>
          <w:b/>
          <w:bCs/>
          <w:color w:val="222222"/>
        </w:rPr>
        <w:t>Role players during the Glencore case</w:t>
      </w:r>
      <w:r w:rsidRPr="00064086">
        <w:rPr>
          <w:rStyle w:val="apple-tab-span"/>
          <w:rFonts w:ascii="Arial" w:hAnsi="Arial" w:cs="Arial"/>
          <w:b/>
          <w:bCs/>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00C21000">
        <w:rPr>
          <w:rFonts w:ascii="Arial" w:hAnsi="Arial" w:cs="Arial"/>
          <w:color w:val="222222"/>
        </w:rPr>
        <w:t>3</w:t>
      </w:r>
    </w:p>
    <w:p w14:paraId="2CDB055E" w14:textId="0ACE8E17" w:rsidR="001E0A0D" w:rsidRPr="00064086" w:rsidRDefault="001E0A0D" w:rsidP="0044077B">
      <w:pPr>
        <w:pStyle w:val="NormalWeb"/>
        <w:numPr>
          <w:ilvl w:val="0"/>
          <w:numId w:val="29"/>
        </w:numPr>
        <w:spacing w:after="0"/>
        <w:jc w:val="left"/>
        <w:textAlignment w:val="baseline"/>
        <w:rPr>
          <w:rFonts w:ascii="Arial" w:hAnsi="Arial" w:cs="Arial"/>
          <w:b/>
          <w:bCs/>
          <w:color w:val="222222"/>
        </w:rPr>
      </w:pPr>
      <w:r w:rsidRPr="00064086">
        <w:rPr>
          <w:rFonts w:ascii="Arial" w:hAnsi="Arial" w:cs="Arial"/>
          <w:b/>
          <w:bCs/>
          <w:color w:val="222222"/>
        </w:rPr>
        <w:t>Transgression description</w:t>
      </w:r>
      <w:r w:rsidRPr="00064086">
        <w:rPr>
          <w:rStyle w:val="apple-tab-span"/>
          <w:rFonts w:ascii="Arial" w:hAnsi="Arial" w:cs="Arial"/>
          <w:b/>
          <w:bCs/>
          <w:color w:val="222222"/>
        </w:rPr>
        <w:tab/>
      </w:r>
      <w:r w:rsidRPr="00064086">
        <w:rPr>
          <w:rStyle w:val="apple-tab-span"/>
          <w:rFonts w:ascii="Arial" w:hAnsi="Arial" w:cs="Arial"/>
          <w:b/>
          <w:bCs/>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00C21000">
        <w:rPr>
          <w:rFonts w:ascii="Arial" w:hAnsi="Arial" w:cs="Arial"/>
          <w:color w:val="222222"/>
        </w:rPr>
        <w:t>4</w:t>
      </w:r>
    </w:p>
    <w:p w14:paraId="6969A842" w14:textId="2F450B60" w:rsidR="001E0A0D" w:rsidRPr="00064086" w:rsidRDefault="001E0A0D" w:rsidP="0044077B">
      <w:pPr>
        <w:pStyle w:val="NormalWeb"/>
        <w:numPr>
          <w:ilvl w:val="0"/>
          <w:numId w:val="29"/>
        </w:numPr>
        <w:spacing w:after="0"/>
        <w:jc w:val="left"/>
        <w:textAlignment w:val="baseline"/>
        <w:rPr>
          <w:rFonts w:ascii="Arial" w:hAnsi="Arial" w:cs="Arial"/>
          <w:b/>
          <w:bCs/>
          <w:color w:val="222222"/>
        </w:rPr>
      </w:pPr>
      <w:r w:rsidRPr="00064086">
        <w:rPr>
          <w:rFonts w:ascii="Arial" w:hAnsi="Arial" w:cs="Arial"/>
          <w:b/>
          <w:bCs/>
          <w:color w:val="222222"/>
        </w:rPr>
        <w:t>Facts of the Glencore case</w:t>
      </w:r>
      <w:r w:rsidRPr="00064086">
        <w:rPr>
          <w:rStyle w:val="apple-tab-span"/>
          <w:rFonts w:ascii="Arial" w:hAnsi="Arial" w:cs="Arial"/>
          <w:b/>
          <w:bCs/>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00C21000">
        <w:rPr>
          <w:rFonts w:ascii="Arial" w:hAnsi="Arial" w:cs="Arial"/>
          <w:color w:val="222222"/>
        </w:rPr>
        <w:t>5</w:t>
      </w:r>
    </w:p>
    <w:p w14:paraId="235DFD74" w14:textId="7348622D" w:rsidR="0044077B" w:rsidRDefault="00064086" w:rsidP="0044077B">
      <w:pPr>
        <w:pStyle w:val="NormalWeb"/>
        <w:numPr>
          <w:ilvl w:val="0"/>
          <w:numId w:val="41"/>
        </w:numPr>
        <w:tabs>
          <w:tab w:val="clear" w:pos="731"/>
        </w:tabs>
        <w:spacing w:after="0"/>
        <w:ind w:left="1276" w:hanging="283"/>
        <w:jc w:val="left"/>
        <w:rPr>
          <w:sz w:val="28"/>
          <w:szCs w:val="28"/>
        </w:rPr>
      </w:pPr>
      <w:r w:rsidRPr="00064086">
        <w:rPr>
          <w:rFonts w:ascii="Arial" w:hAnsi="Arial" w:cs="Arial"/>
          <w:color w:val="222222"/>
        </w:rPr>
        <w:t>Substance</w:t>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00DC21DD">
        <w:rPr>
          <w:rStyle w:val="apple-tab-span"/>
          <w:rFonts w:ascii="Arial" w:hAnsi="Arial" w:cs="Arial"/>
          <w:color w:val="222222"/>
        </w:rPr>
        <w:t>5</w:t>
      </w:r>
    </w:p>
    <w:p w14:paraId="3FE6D1C1" w14:textId="6F4406E7" w:rsidR="0044077B" w:rsidRDefault="00064086" w:rsidP="0044077B">
      <w:pPr>
        <w:pStyle w:val="NormalWeb"/>
        <w:numPr>
          <w:ilvl w:val="0"/>
          <w:numId w:val="41"/>
        </w:numPr>
        <w:tabs>
          <w:tab w:val="clear" w:pos="731"/>
        </w:tabs>
        <w:spacing w:after="0"/>
        <w:ind w:left="1276" w:hanging="283"/>
        <w:jc w:val="left"/>
        <w:rPr>
          <w:sz w:val="28"/>
          <w:szCs w:val="28"/>
        </w:rPr>
      </w:pPr>
      <w:r w:rsidRPr="0044077B">
        <w:rPr>
          <w:rFonts w:ascii="Arial" w:hAnsi="Arial" w:cs="Arial"/>
          <w:color w:val="222222"/>
        </w:rPr>
        <w:t>Procedure</w:t>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00DC21DD">
        <w:rPr>
          <w:rFonts w:ascii="Arial" w:hAnsi="Arial" w:cs="Arial"/>
          <w:color w:val="222222"/>
        </w:rPr>
        <w:t>5</w:t>
      </w:r>
    </w:p>
    <w:p w14:paraId="376F802F" w14:textId="180DDC9A" w:rsidR="0044077B" w:rsidRDefault="00064086" w:rsidP="0044077B">
      <w:pPr>
        <w:pStyle w:val="NormalWeb"/>
        <w:numPr>
          <w:ilvl w:val="0"/>
          <w:numId w:val="41"/>
        </w:numPr>
        <w:tabs>
          <w:tab w:val="clear" w:pos="731"/>
        </w:tabs>
        <w:spacing w:after="0"/>
        <w:ind w:left="1276" w:hanging="283"/>
        <w:jc w:val="left"/>
        <w:rPr>
          <w:sz w:val="28"/>
          <w:szCs w:val="28"/>
        </w:rPr>
      </w:pPr>
      <w:r w:rsidRPr="0044077B">
        <w:rPr>
          <w:rFonts w:ascii="Arial" w:hAnsi="Arial" w:cs="Arial"/>
          <w:color w:val="222222"/>
        </w:rPr>
        <w:t>Arbitration</w:t>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00DC21DD">
        <w:rPr>
          <w:rFonts w:ascii="Arial" w:hAnsi="Arial" w:cs="Arial"/>
          <w:color w:val="222222"/>
        </w:rPr>
        <w:t>5</w:t>
      </w:r>
    </w:p>
    <w:p w14:paraId="2C739710" w14:textId="07FFB2E7" w:rsidR="00064086" w:rsidRPr="0044077B" w:rsidRDefault="00064086" w:rsidP="0044077B">
      <w:pPr>
        <w:pStyle w:val="NormalWeb"/>
        <w:numPr>
          <w:ilvl w:val="0"/>
          <w:numId w:val="41"/>
        </w:numPr>
        <w:tabs>
          <w:tab w:val="clear" w:pos="731"/>
        </w:tabs>
        <w:spacing w:after="0"/>
        <w:ind w:left="1276" w:hanging="283"/>
        <w:jc w:val="left"/>
        <w:rPr>
          <w:sz w:val="28"/>
          <w:szCs w:val="28"/>
        </w:rPr>
      </w:pPr>
      <w:r w:rsidRPr="0044077B">
        <w:rPr>
          <w:rFonts w:ascii="Arial" w:hAnsi="Arial" w:cs="Arial"/>
          <w:color w:val="222222"/>
        </w:rPr>
        <w:t>Correct behaviour</w:t>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Pr="0044077B">
        <w:rPr>
          <w:rStyle w:val="apple-tab-span"/>
          <w:rFonts w:ascii="Arial" w:hAnsi="Arial" w:cs="Arial"/>
          <w:color w:val="222222"/>
        </w:rPr>
        <w:tab/>
      </w:r>
      <w:r w:rsidR="00DC21DD">
        <w:rPr>
          <w:rFonts w:ascii="Arial" w:hAnsi="Arial" w:cs="Arial"/>
          <w:color w:val="222222"/>
        </w:rPr>
        <w:t>5</w:t>
      </w:r>
    </w:p>
    <w:p w14:paraId="1C340561" w14:textId="3FBFA5B5" w:rsidR="00064086" w:rsidRPr="00064086" w:rsidRDefault="00064086" w:rsidP="0044077B">
      <w:pPr>
        <w:pStyle w:val="NormalWeb"/>
        <w:numPr>
          <w:ilvl w:val="0"/>
          <w:numId w:val="29"/>
        </w:numPr>
        <w:spacing w:after="0"/>
        <w:jc w:val="left"/>
        <w:textAlignment w:val="baseline"/>
        <w:rPr>
          <w:rFonts w:ascii="Arial" w:hAnsi="Arial" w:cs="Arial"/>
          <w:b/>
          <w:bCs/>
          <w:color w:val="222222"/>
        </w:rPr>
      </w:pPr>
      <w:r>
        <w:rPr>
          <w:rFonts w:ascii="Arial" w:hAnsi="Arial" w:cs="Arial"/>
          <w:b/>
          <w:bCs/>
          <w:color w:val="222222"/>
        </w:rPr>
        <w:t>Mitigating factors</w:t>
      </w:r>
      <w:r>
        <w:rPr>
          <w:rFonts w:ascii="Arial" w:hAnsi="Arial" w:cs="Arial"/>
          <w:b/>
          <w:bCs/>
          <w:color w:val="222222"/>
        </w:rPr>
        <w:tab/>
      </w:r>
      <w:r>
        <w:rPr>
          <w:rFonts w:ascii="Arial" w:hAnsi="Arial" w:cs="Arial"/>
          <w:b/>
          <w:bCs/>
          <w:color w:val="222222"/>
        </w:rPr>
        <w:tab/>
      </w:r>
      <w:r>
        <w:rPr>
          <w:rFonts w:ascii="Arial" w:hAnsi="Arial" w:cs="Arial"/>
          <w:b/>
          <w:bCs/>
          <w:color w:val="222222"/>
        </w:rPr>
        <w:tab/>
      </w:r>
      <w:r>
        <w:rPr>
          <w:rFonts w:ascii="Arial" w:hAnsi="Arial" w:cs="Arial"/>
          <w:b/>
          <w:bCs/>
          <w:color w:val="222222"/>
        </w:rPr>
        <w:tab/>
      </w:r>
      <w:r>
        <w:rPr>
          <w:rFonts w:ascii="Arial" w:hAnsi="Arial" w:cs="Arial"/>
          <w:b/>
          <w:bCs/>
          <w:color w:val="222222"/>
        </w:rPr>
        <w:tab/>
      </w:r>
      <w:r>
        <w:rPr>
          <w:rFonts w:ascii="Arial" w:hAnsi="Arial" w:cs="Arial"/>
          <w:b/>
          <w:bCs/>
          <w:color w:val="222222"/>
        </w:rPr>
        <w:tab/>
      </w:r>
      <w:r>
        <w:rPr>
          <w:rFonts w:ascii="Arial" w:hAnsi="Arial" w:cs="Arial"/>
          <w:b/>
          <w:bCs/>
          <w:color w:val="222222"/>
        </w:rPr>
        <w:tab/>
      </w:r>
      <w:r>
        <w:rPr>
          <w:rFonts w:ascii="Arial" w:hAnsi="Arial" w:cs="Arial"/>
          <w:b/>
          <w:bCs/>
          <w:color w:val="222222"/>
        </w:rPr>
        <w:tab/>
      </w:r>
      <w:r>
        <w:rPr>
          <w:rFonts w:ascii="Arial" w:hAnsi="Arial" w:cs="Arial"/>
          <w:b/>
          <w:bCs/>
          <w:color w:val="222222"/>
        </w:rPr>
        <w:tab/>
      </w:r>
      <w:r w:rsidR="00DC21DD">
        <w:rPr>
          <w:rFonts w:ascii="Arial" w:hAnsi="Arial" w:cs="Arial"/>
          <w:color w:val="222222"/>
        </w:rPr>
        <w:t>6</w:t>
      </w:r>
    </w:p>
    <w:p w14:paraId="135C928D" w14:textId="05D91F02" w:rsidR="00064086" w:rsidRPr="00064086" w:rsidRDefault="00064086" w:rsidP="0044077B">
      <w:pPr>
        <w:pStyle w:val="NormalWeb"/>
        <w:numPr>
          <w:ilvl w:val="0"/>
          <w:numId w:val="42"/>
        </w:numPr>
        <w:tabs>
          <w:tab w:val="num" w:pos="1134"/>
        </w:tabs>
        <w:spacing w:after="0"/>
        <w:jc w:val="left"/>
        <w:rPr>
          <w:sz w:val="28"/>
          <w:szCs w:val="28"/>
        </w:rPr>
      </w:pPr>
      <w:r w:rsidRPr="00064086">
        <w:rPr>
          <w:rFonts w:ascii="Arial" w:hAnsi="Arial" w:cs="Arial"/>
          <w:color w:val="222222"/>
        </w:rPr>
        <w:t xml:space="preserve">Termination and </w:t>
      </w:r>
      <w:r w:rsidR="00DC21DD">
        <w:rPr>
          <w:rFonts w:ascii="Arial" w:hAnsi="Arial" w:cs="Arial"/>
          <w:color w:val="222222"/>
        </w:rPr>
        <w:t>r</w:t>
      </w:r>
      <w:r w:rsidRPr="00064086">
        <w:rPr>
          <w:rFonts w:ascii="Arial" w:hAnsi="Arial" w:cs="Arial"/>
          <w:color w:val="222222"/>
        </w:rPr>
        <w:t>eplacement</w:t>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00DC21DD">
        <w:rPr>
          <w:rFonts w:ascii="Arial" w:hAnsi="Arial" w:cs="Arial"/>
          <w:color w:val="222222"/>
        </w:rPr>
        <w:t>6</w:t>
      </w:r>
    </w:p>
    <w:p w14:paraId="616EEDD5" w14:textId="1741652F" w:rsidR="00064086" w:rsidRPr="00064086" w:rsidRDefault="0044077B" w:rsidP="0044077B">
      <w:pPr>
        <w:pStyle w:val="NormalWeb"/>
        <w:numPr>
          <w:ilvl w:val="0"/>
          <w:numId w:val="42"/>
        </w:numPr>
        <w:spacing w:after="0"/>
        <w:jc w:val="left"/>
        <w:rPr>
          <w:sz w:val="28"/>
          <w:szCs w:val="28"/>
        </w:rPr>
      </w:pPr>
      <w:r>
        <w:rPr>
          <w:rFonts w:ascii="Arial" w:hAnsi="Arial" w:cs="Arial"/>
          <w:color w:val="222222"/>
        </w:rPr>
        <w:t xml:space="preserve"> </w:t>
      </w:r>
      <w:r w:rsidR="00064086" w:rsidRPr="00064086">
        <w:rPr>
          <w:rFonts w:ascii="Arial" w:hAnsi="Arial" w:cs="Arial"/>
          <w:color w:val="222222"/>
        </w:rPr>
        <w:t xml:space="preserve">Gross </w:t>
      </w:r>
      <w:r w:rsidR="00DC21DD">
        <w:rPr>
          <w:rFonts w:ascii="Arial" w:hAnsi="Arial" w:cs="Arial"/>
          <w:color w:val="222222"/>
        </w:rPr>
        <w:t>i</w:t>
      </w:r>
      <w:r w:rsidR="00064086" w:rsidRPr="00064086">
        <w:rPr>
          <w:rFonts w:ascii="Arial" w:hAnsi="Arial" w:cs="Arial"/>
          <w:color w:val="222222"/>
        </w:rPr>
        <w:t>nsubordination</w:t>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DC21DD">
        <w:rPr>
          <w:rFonts w:ascii="Arial" w:hAnsi="Arial" w:cs="Arial"/>
          <w:color w:val="222222"/>
        </w:rPr>
        <w:t>6</w:t>
      </w:r>
    </w:p>
    <w:p w14:paraId="77A6F093" w14:textId="5AD92E3D" w:rsidR="00064086" w:rsidRPr="00064086" w:rsidRDefault="0044077B" w:rsidP="0044077B">
      <w:pPr>
        <w:pStyle w:val="NormalWeb"/>
        <w:numPr>
          <w:ilvl w:val="0"/>
          <w:numId w:val="42"/>
        </w:numPr>
        <w:spacing w:after="0"/>
        <w:jc w:val="left"/>
        <w:rPr>
          <w:sz w:val="28"/>
          <w:szCs w:val="28"/>
        </w:rPr>
      </w:pPr>
      <w:r>
        <w:rPr>
          <w:rFonts w:ascii="Arial" w:hAnsi="Arial" w:cs="Arial"/>
          <w:color w:val="222222"/>
        </w:rPr>
        <w:t xml:space="preserve"> </w:t>
      </w:r>
      <w:r w:rsidR="00064086" w:rsidRPr="00064086">
        <w:rPr>
          <w:rFonts w:ascii="Arial" w:hAnsi="Arial" w:cs="Arial"/>
          <w:color w:val="222222"/>
        </w:rPr>
        <w:t xml:space="preserve">Unacceptable </w:t>
      </w:r>
      <w:r w:rsidR="00DC21DD">
        <w:rPr>
          <w:rFonts w:ascii="Arial" w:hAnsi="Arial" w:cs="Arial"/>
          <w:color w:val="222222"/>
        </w:rPr>
        <w:t>p</w:t>
      </w:r>
      <w:r w:rsidR="00064086" w:rsidRPr="00064086">
        <w:rPr>
          <w:rFonts w:ascii="Arial" w:hAnsi="Arial" w:cs="Arial"/>
          <w:color w:val="222222"/>
        </w:rPr>
        <w:t>ractice</w:t>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DC21DD">
        <w:rPr>
          <w:rFonts w:ascii="Arial" w:hAnsi="Arial" w:cs="Arial"/>
          <w:color w:val="222222"/>
        </w:rPr>
        <w:t>6</w:t>
      </w:r>
    </w:p>
    <w:p w14:paraId="5A681C54" w14:textId="2032D8D5" w:rsidR="00064086" w:rsidRPr="00064086" w:rsidRDefault="0044077B" w:rsidP="0044077B">
      <w:pPr>
        <w:pStyle w:val="NormalWeb"/>
        <w:numPr>
          <w:ilvl w:val="0"/>
          <w:numId w:val="42"/>
        </w:numPr>
        <w:spacing w:after="0"/>
        <w:jc w:val="left"/>
        <w:rPr>
          <w:sz w:val="28"/>
          <w:szCs w:val="28"/>
        </w:rPr>
      </w:pPr>
      <w:r>
        <w:rPr>
          <w:rFonts w:ascii="Arial" w:hAnsi="Arial" w:cs="Arial"/>
          <w:color w:val="222222"/>
        </w:rPr>
        <w:t xml:space="preserve"> </w:t>
      </w:r>
      <w:r w:rsidR="00064086" w:rsidRPr="00064086">
        <w:rPr>
          <w:rFonts w:ascii="Arial" w:hAnsi="Arial" w:cs="Arial"/>
          <w:color w:val="222222"/>
        </w:rPr>
        <w:t xml:space="preserve">Defective </w:t>
      </w:r>
      <w:r w:rsidR="00DC21DD">
        <w:rPr>
          <w:rFonts w:ascii="Arial" w:hAnsi="Arial" w:cs="Arial"/>
          <w:color w:val="222222"/>
        </w:rPr>
        <w:t>r</w:t>
      </w:r>
      <w:r w:rsidR="00064086" w:rsidRPr="00064086">
        <w:rPr>
          <w:rFonts w:ascii="Arial" w:hAnsi="Arial" w:cs="Arial"/>
          <w:color w:val="222222"/>
        </w:rPr>
        <w:t>ecords</w:t>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DC21DD">
        <w:rPr>
          <w:rFonts w:ascii="Arial" w:hAnsi="Arial" w:cs="Arial"/>
          <w:color w:val="222222"/>
        </w:rPr>
        <w:t>6</w:t>
      </w:r>
    </w:p>
    <w:p w14:paraId="6713B621" w14:textId="15908655" w:rsidR="00064086" w:rsidRPr="00064086" w:rsidRDefault="0044077B" w:rsidP="0044077B">
      <w:pPr>
        <w:pStyle w:val="NormalWeb"/>
        <w:numPr>
          <w:ilvl w:val="0"/>
          <w:numId w:val="42"/>
        </w:numPr>
        <w:spacing w:after="0"/>
        <w:jc w:val="left"/>
        <w:rPr>
          <w:sz w:val="28"/>
          <w:szCs w:val="28"/>
        </w:rPr>
      </w:pPr>
      <w:r>
        <w:rPr>
          <w:rFonts w:ascii="Arial" w:hAnsi="Arial" w:cs="Arial"/>
          <w:color w:val="222222"/>
        </w:rPr>
        <w:t xml:space="preserve"> </w:t>
      </w:r>
      <w:r w:rsidR="00064086" w:rsidRPr="00064086">
        <w:rPr>
          <w:rFonts w:ascii="Arial" w:hAnsi="Arial" w:cs="Arial"/>
          <w:color w:val="222222"/>
        </w:rPr>
        <w:t>Test of materiality of evidence not properly dealt with</w:t>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DC21DD">
        <w:rPr>
          <w:rFonts w:ascii="Arial" w:hAnsi="Arial" w:cs="Arial"/>
          <w:color w:val="222222"/>
        </w:rPr>
        <w:t>7</w:t>
      </w:r>
    </w:p>
    <w:p w14:paraId="7A3EF43D" w14:textId="69D20A3B" w:rsidR="00064086" w:rsidRPr="00064086" w:rsidRDefault="0044077B" w:rsidP="0044077B">
      <w:pPr>
        <w:pStyle w:val="NormalWeb"/>
        <w:numPr>
          <w:ilvl w:val="0"/>
          <w:numId w:val="42"/>
        </w:numPr>
        <w:spacing w:after="0"/>
        <w:jc w:val="left"/>
        <w:rPr>
          <w:sz w:val="28"/>
          <w:szCs w:val="28"/>
        </w:rPr>
      </w:pPr>
      <w:r>
        <w:rPr>
          <w:rFonts w:ascii="Arial" w:hAnsi="Arial" w:cs="Arial"/>
          <w:color w:val="222222"/>
        </w:rPr>
        <w:t xml:space="preserve"> </w:t>
      </w:r>
      <w:r w:rsidR="00064086" w:rsidRPr="00064086">
        <w:rPr>
          <w:rFonts w:ascii="Arial" w:hAnsi="Arial" w:cs="Arial"/>
          <w:color w:val="222222"/>
        </w:rPr>
        <w:t xml:space="preserve">Evidence in chief of the only witness of the applicant was neither </w:t>
      </w:r>
      <w:r>
        <w:rPr>
          <w:rFonts w:ascii="Arial" w:hAnsi="Arial" w:cs="Arial"/>
          <w:color w:val="222222"/>
        </w:rPr>
        <w:t xml:space="preserve">  </w:t>
      </w:r>
      <w:r w:rsidR="00064086" w:rsidRPr="00064086">
        <w:rPr>
          <w:rFonts w:ascii="Arial" w:hAnsi="Arial" w:cs="Arial"/>
          <w:color w:val="222222"/>
        </w:rPr>
        <w:t>transcribed nor reconstructed</w:t>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DC21DD">
        <w:rPr>
          <w:rFonts w:ascii="Arial" w:hAnsi="Arial" w:cs="Arial"/>
          <w:color w:val="222222"/>
        </w:rPr>
        <w:t>7</w:t>
      </w:r>
    </w:p>
    <w:p w14:paraId="5C2CC9B6" w14:textId="7792ED92" w:rsidR="00064086" w:rsidRPr="00064086" w:rsidRDefault="0044077B" w:rsidP="0044077B">
      <w:pPr>
        <w:pStyle w:val="NormalWeb"/>
        <w:numPr>
          <w:ilvl w:val="0"/>
          <w:numId w:val="42"/>
        </w:numPr>
        <w:spacing w:after="0"/>
        <w:jc w:val="left"/>
        <w:rPr>
          <w:sz w:val="28"/>
          <w:szCs w:val="28"/>
        </w:rPr>
      </w:pPr>
      <w:r>
        <w:rPr>
          <w:rFonts w:ascii="Arial" w:hAnsi="Arial" w:cs="Arial"/>
          <w:color w:val="222222"/>
        </w:rPr>
        <w:t xml:space="preserve"> </w:t>
      </w:r>
      <w:r w:rsidR="00064086" w:rsidRPr="00064086">
        <w:rPr>
          <w:rFonts w:ascii="Arial" w:hAnsi="Arial" w:cs="Arial"/>
          <w:color w:val="222222"/>
        </w:rPr>
        <w:t>Interest of fairness</w:t>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DC21DD">
        <w:rPr>
          <w:rFonts w:ascii="Arial" w:hAnsi="Arial" w:cs="Arial"/>
          <w:color w:val="222222"/>
        </w:rPr>
        <w:t>7</w:t>
      </w:r>
    </w:p>
    <w:p w14:paraId="3D432734" w14:textId="35FEF1FB" w:rsidR="00064086" w:rsidRPr="00064086" w:rsidRDefault="0044077B" w:rsidP="0044077B">
      <w:pPr>
        <w:pStyle w:val="NormalWeb"/>
        <w:numPr>
          <w:ilvl w:val="0"/>
          <w:numId w:val="42"/>
        </w:numPr>
        <w:spacing w:after="0"/>
        <w:jc w:val="left"/>
        <w:rPr>
          <w:sz w:val="28"/>
          <w:szCs w:val="28"/>
        </w:rPr>
      </w:pPr>
      <w:r>
        <w:rPr>
          <w:rFonts w:ascii="Arial" w:hAnsi="Arial" w:cs="Arial"/>
          <w:color w:val="222222"/>
        </w:rPr>
        <w:t xml:space="preserve"> </w:t>
      </w:r>
      <w:r w:rsidR="00064086" w:rsidRPr="00064086">
        <w:rPr>
          <w:rFonts w:ascii="Arial" w:hAnsi="Arial" w:cs="Arial"/>
          <w:color w:val="222222"/>
        </w:rPr>
        <w:t xml:space="preserve">Appropriateness of the Commissioner’s decisions during the </w:t>
      </w:r>
      <w:r>
        <w:rPr>
          <w:rFonts w:ascii="Arial" w:hAnsi="Arial" w:cs="Arial"/>
          <w:color w:val="222222"/>
        </w:rPr>
        <w:t xml:space="preserve">            </w:t>
      </w:r>
      <w:r w:rsidR="00064086" w:rsidRPr="00064086">
        <w:rPr>
          <w:rFonts w:ascii="Arial" w:hAnsi="Arial" w:cs="Arial"/>
          <w:color w:val="222222"/>
        </w:rPr>
        <w:t>arbitration</w:t>
      </w:r>
      <w:r>
        <w:rPr>
          <w:rStyle w:val="apple-tab-span"/>
          <w:rFonts w:ascii="Arial" w:hAnsi="Arial" w:cs="Arial"/>
          <w:color w:val="222222"/>
        </w:rPr>
        <w:t xml:space="preserve"> </w:t>
      </w:r>
      <w:r w:rsidR="00064086" w:rsidRPr="00064086">
        <w:rPr>
          <w:rFonts w:ascii="Arial" w:hAnsi="Arial" w:cs="Arial"/>
          <w:color w:val="222222"/>
        </w:rPr>
        <w:t>process</w:t>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Style w:val="apple-tab-span"/>
          <w:rFonts w:ascii="Arial" w:hAnsi="Arial" w:cs="Arial"/>
          <w:color w:val="222222"/>
        </w:rPr>
        <w:tab/>
      </w:r>
      <w:r w:rsidR="00064086" w:rsidRPr="00064086">
        <w:rPr>
          <w:rFonts w:ascii="Arial" w:hAnsi="Arial" w:cs="Arial"/>
          <w:color w:val="222222"/>
        </w:rPr>
        <w:t>7</w:t>
      </w:r>
    </w:p>
    <w:p w14:paraId="13B2A205" w14:textId="4F1035CA" w:rsidR="00064086" w:rsidRPr="00064086" w:rsidRDefault="00064086" w:rsidP="0044077B">
      <w:pPr>
        <w:pStyle w:val="NormalWeb"/>
        <w:numPr>
          <w:ilvl w:val="0"/>
          <w:numId w:val="29"/>
        </w:numPr>
        <w:spacing w:after="0"/>
        <w:jc w:val="left"/>
        <w:textAlignment w:val="baseline"/>
        <w:rPr>
          <w:rFonts w:ascii="Arial" w:hAnsi="Arial" w:cs="Arial"/>
          <w:b/>
          <w:bCs/>
          <w:color w:val="222222"/>
        </w:rPr>
      </w:pPr>
      <w:r>
        <w:rPr>
          <w:rFonts w:ascii="Arial" w:hAnsi="Arial" w:cs="Arial"/>
          <w:b/>
          <w:bCs/>
          <w:color w:val="222222"/>
        </w:rPr>
        <w:t>Conclusion</w:t>
      </w:r>
      <w:r>
        <w:rPr>
          <w:rFonts w:ascii="Arial" w:hAnsi="Arial" w:cs="Arial"/>
          <w:b/>
          <w:bCs/>
          <w:color w:val="222222"/>
        </w:rPr>
        <w:tab/>
      </w:r>
      <w:r>
        <w:rPr>
          <w:rFonts w:ascii="Arial" w:hAnsi="Arial" w:cs="Arial"/>
          <w:b/>
          <w:bCs/>
          <w:color w:val="222222"/>
        </w:rPr>
        <w:tab/>
      </w:r>
      <w:r>
        <w:rPr>
          <w:rFonts w:ascii="Arial" w:hAnsi="Arial" w:cs="Arial"/>
          <w:b/>
          <w:bCs/>
          <w:color w:val="222222"/>
        </w:rPr>
        <w:tab/>
      </w:r>
      <w:r>
        <w:rPr>
          <w:rFonts w:ascii="Arial" w:hAnsi="Arial" w:cs="Arial"/>
          <w:b/>
          <w:bCs/>
          <w:color w:val="222222"/>
        </w:rPr>
        <w:tab/>
      </w:r>
      <w:r>
        <w:rPr>
          <w:rFonts w:ascii="Arial" w:hAnsi="Arial" w:cs="Arial"/>
          <w:b/>
          <w:bCs/>
          <w:color w:val="222222"/>
        </w:rPr>
        <w:tab/>
      </w:r>
      <w:r>
        <w:rPr>
          <w:rFonts w:ascii="Arial" w:hAnsi="Arial" w:cs="Arial"/>
          <w:b/>
          <w:bCs/>
          <w:color w:val="222222"/>
        </w:rPr>
        <w:tab/>
      </w:r>
      <w:r>
        <w:rPr>
          <w:rFonts w:ascii="Arial" w:hAnsi="Arial" w:cs="Arial"/>
          <w:b/>
          <w:bCs/>
          <w:color w:val="222222"/>
        </w:rPr>
        <w:tab/>
      </w:r>
      <w:r>
        <w:rPr>
          <w:rFonts w:ascii="Arial" w:hAnsi="Arial" w:cs="Arial"/>
          <w:b/>
          <w:bCs/>
          <w:color w:val="222222"/>
        </w:rPr>
        <w:tab/>
      </w:r>
      <w:r>
        <w:rPr>
          <w:rFonts w:ascii="Arial" w:hAnsi="Arial" w:cs="Arial"/>
          <w:b/>
          <w:bCs/>
          <w:color w:val="222222"/>
        </w:rPr>
        <w:tab/>
      </w:r>
      <w:r>
        <w:rPr>
          <w:rFonts w:ascii="Arial" w:hAnsi="Arial" w:cs="Arial"/>
          <w:b/>
          <w:bCs/>
          <w:color w:val="222222"/>
        </w:rPr>
        <w:tab/>
      </w:r>
      <w:r w:rsidR="00DC21DD">
        <w:rPr>
          <w:rFonts w:ascii="Arial" w:hAnsi="Arial" w:cs="Arial"/>
          <w:color w:val="222222"/>
        </w:rPr>
        <w:t>8</w:t>
      </w:r>
    </w:p>
    <w:p w14:paraId="20C50312" w14:textId="77777777" w:rsidR="001E0A0D" w:rsidRPr="00064086" w:rsidRDefault="001E0A0D" w:rsidP="0044077B">
      <w:pPr>
        <w:pStyle w:val="NormalWeb"/>
        <w:spacing w:before="240" w:after="0"/>
        <w:ind w:left="720"/>
        <w:jc w:val="left"/>
        <w:rPr>
          <w:sz w:val="28"/>
          <w:szCs w:val="28"/>
        </w:rPr>
      </w:pPr>
      <w:r w:rsidRPr="00064086">
        <w:rPr>
          <w:rFonts w:ascii="Arial" w:hAnsi="Arial" w:cs="Arial"/>
          <w:b/>
          <w:bCs/>
          <w:color w:val="222222"/>
        </w:rPr>
        <w:t>Reference list</w:t>
      </w:r>
      <w:r w:rsidRPr="00064086">
        <w:rPr>
          <w:rStyle w:val="apple-tab-span"/>
          <w:rFonts w:ascii="Arial" w:hAnsi="Arial" w:cs="Arial"/>
          <w:b/>
          <w:bCs/>
          <w:color w:val="222222"/>
        </w:rPr>
        <w:tab/>
      </w:r>
      <w:r w:rsidRPr="00064086">
        <w:rPr>
          <w:rStyle w:val="apple-tab-span"/>
          <w:rFonts w:ascii="Arial" w:hAnsi="Arial" w:cs="Arial"/>
          <w:b/>
          <w:bCs/>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Style w:val="apple-tab-span"/>
          <w:rFonts w:ascii="Arial" w:hAnsi="Arial" w:cs="Arial"/>
          <w:color w:val="222222"/>
        </w:rPr>
        <w:tab/>
      </w:r>
      <w:r w:rsidRPr="00064086">
        <w:rPr>
          <w:rFonts w:ascii="Arial" w:hAnsi="Arial" w:cs="Arial"/>
          <w:color w:val="222222"/>
        </w:rPr>
        <w:t>9</w:t>
      </w:r>
    </w:p>
    <w:p w14:paraId="4FD55B33" w14:textId="77777777" w:rsidR="0044077B" w:rsidRDefault="001E0A0D" w:rsidP="001E0A0D">
      <w:r w:rsidRPr="00064086">
        <w:rPr>
          <w:sz w:val="28"/>
          <w:szCs w:val="22"/>
        </w:rPr>
        <w:br/>
      </w:r>
      <w:r w:rsidRPr="00064086">
        <w:rPr>
          <w:sz w:val="28"/>
          <w:szCs w:val="22"/>
        </w:rPr>
        <w:br/>
      </w:r>
    </w:p>
    <w:p w14:paraId="144D3CD0" w14:textId="77777777" w:rsidR="0044077B" w:rsidRDefault="0044077B">
      <w:pPr>
        <w:spacing w:after="0" w:line="240" w:lineRule="auto"/>
        <w:jc w:val="left"/>
      </w:pPr>
      <w:r>
        <w:br w:type="page"/>
      </w:r>
    </w:p>
    <w:p w14:paraId="671DDDD2" w14:textId="01705C4C" w:rsidR="0044077B" w:rsidRPr="0044077B" w:rsidRDefault="001E0A0D" w:rsidP="0044077B">
      <w:pPr>
        <w:pStyle w:val="NormalWeb"/>
        <w:numPr>
          <w:ilvl w:val="0"/>
          <w:numId w:val="32"/>
        </w:numPr>
        <w:spacing w:before="240"/>
        <w:textAlignment w:val="baseline"/>
        <w:rPr>
          <w:rFonts w:ascii="Arial" w:hAnsi="Arial" w:cs="Arial"/>
          <w:b/>
          <w:bCs/>
          <w:color w:val="222222"/>
        </w:rPr>
      </w:pPr>
      <w:r w:rsidRPr="0044077B">
        <w:rPr>
          <w:rFonts w:ascii="Arial" w:hAnsi="Arial" w:cs="Arial"/>
          <w:b/>
          <w:bCs/>
          <w:color w:val="222222"/>
        </w:rPr>
        <w:lastRenderedPageBreak/>
        <w:t>Introduction and background</w:t>
      </w:r>
    </w:p>
    <w:p w14:paraId="05EAA2A8" w14:textId="0F9520F4" w:rsidR="001E0A0D" w:rsidRPr="0044077B" w:rsidRDefault="001E0A0D" w:rsidP="0044077B">
      <w:pPr>
        <w:pStyle w:val="NormalWeb"/>
        <w:rPr>
          <w:rFonts w:ascii="Arial" w:hAnsi="Arial" w:cs="Arial"/>
          <w:sz w:val="22"/>
          <w:szCs w:val="22"/>
        </w:rPr>
      </w:pPr>
      <w:r w:rsidRPr="0044077B">
        <w:rPr>
          <w:rFonts w:ascii="Arial" w:hAnsi="Arial" w:cs="Arial"/>
          <w:color w:val="222222"/>
          <w:sz w:val="22"/>
          <w:szCs w:val="22"/>
        </w:rPr>
        <w:t>The Labour Court is constantly called upon to review Arbitration Awards issued by the Commission for Conciliation, Mediation, and Arbitration (CCMA). The Labour Court can confirm or reverse a decision made by the CCMA by reviewing the evidence presented during the arbitration hearing, by interpreting the CCMA rules and by evaluating the related provisions of the Labour Relations Act 66 of 1995 by the Arbitrator.</w:t>
      </w:r>
    </w:p>
    <w:p w14:paraId="156EAF6C" w14:textId="3B1AA806" w:rsidR="001E0A0D" w:rsidRPr="0044077B" w:rsidRDefault="001E0A0D" w:rsidP="0044077B">
      <w:pPr>
        <w:pStyle w:val="NormalWeb"/>
        <w:spacing w:after="160"/>
        <w:rPr>
          <w:rFonts w:ascii="Arial" w:hAnsi="Arial" w:cs="Arial"/>
          <w:sz w:val="22"/>
          <w:szCs w:val="22"/>
        </w:rPr>
      </w:pPr>
      <w:r w:rsidRPr="0044077B">
        <w:rPr>
          <w:rFonts w:ascii="Arial" w:hAnsi="Arial" w:cs="Arial"/>
          <w:color w:val="222222"/>
          <w:sz w:val="22"/>
          <w:szCs w:val="22"/>
        </w:rPr>
        <w:t>Th</w:t>
      </w:r>
      <w:r w:rsidR="00C21000">
        <w:rPr>
          <w:rFonts w:ascii="Arial" w:hAnsi="Arial" w:cs="Arial"/>
          <w:color w:val="222222"/>
          <w:sz w:val="22"/>
          <w:szCs w:val="22"/>
        </w:rPr>
        <w:t>e following</w:t>
      </w:r>
      <w:r w:rsidRPr="0044077B">
        <w:rPr>
          <w:rFonts w:ascii="Arial" w:hAnsi="Arial" w:cs="Arial"/>
          <w:color w:val="222222"/>
          <w:sz w:val="22"/>
          <w:szCs w:val="22"/>
        </w:rPr>
        <w:t xml:space="preserve"> report deals with the Labour Court review case of </w:t>
      </w:r>
      <w:r w:rsidRPr="0044077B">
        <w:rPr>
          <w:rFonts w:ascii="Arial" w:hAnsi="Arial" w:cs="Arial"/>
          <w:i/>
          <w:iCs/>
          <w:color w:val="222222"/>
          <w:sz w:val="22"/>
          <w:szCs w:val="22"/>
        </w:rPr>
        <w:t xml:space="preserve">Glencore Operations South Africa (PTY) LTD (Lion Ferrochrome) v Simon Mohubedu Rantho </w:t>
      </w:r>
      <w:r w:rsidRPr="0044077B">
        <w:rPr>
          <w:rFonts w:ascii="Arial" w:hAnsi="Arial" w:cs="Arial"/>
          <w:color w:val="222222"/>
          <w:sz w:val="22"/>
          <w:szCs w:val="22"/>
        </w:rPr>
        <w:t>(2016). The case was heard by acting judge R.A.L. Harper on 6 July 2016 and judgement was handed down on 30 September 2016. Th</w:t>
      </w:r>
      <w:r w:rsidR="00C21000">
        <w:rPr>
          <w:rFonts w:ascii="Arial" w:hAnsi="Arial" w:cs="Arial"/>
          <w:color w:val="222222"/>
          <w:sz w:val="22"/>
          <w:szCs w:val="22"/>
        </w:rPr>
        <w:t>is</w:t>
      </w:r>
      <w:r w:rsidRPr="0044077B">
        <w:rPr>
          <w:rFonts w:ascii="Arial" w:hAnsi="Arial" w:cs="Arial"/>
          <w:color w:val="222222"/>
          <w:sz w:val="22"/>
          <w:szCs w:val="22"/>
        </w:rPr>
        <w:t xml:space="preserve"> case relates to a </w:t>
      </w:r>
      <w:r w:rsidR="00C21000">
        <w:rPr>
          <w:rFonts w:ascii="Arial" w:hAnsi="Arial" w:cs="Arial"/>
          <w:color w:val="222222"/>
          <w:sz w:val="22"/>
          <w:szCs w:val="22"/>
        </w:rPr>
        <w:t>R</w:t>
      </w:r>
      <w:r w:rsidRPr="0044077B">
        <w:rPr>
          <w:rFonts w:ascii="Arial" w:hAnsi="Arial" w:cs="Arial"/>
          <w:color w:val="222222"/>
          <w:sz w:val="22"/>
          <w:szCs w:val="22"/>
        </w:rPr>
        <w:t xml:space="preserve">eview </w:t>
      </w:r>
      <w:r w:rsidR="00C21000">
        <w:rPr>
          <w:rFonts w:ascii="Arial" w:hAnsi="Arial" w:cs="Arial"/>
          <w:color w:val="222222"/>
          <w:sz w:val="22"/>
          <w:szCs w:val="22"/>
        </w:rPr>
        <w:t>A</w:t>
      </w:r>
      <w:r w:rsidRPr="0044077B">
        <w:rPr>
          <w:rFonts w:ascii="Arial" w:hAnsi="Arial" w:cs="Arial"/>
          <w:color w:val="222222"/>
          <w:sz w:val="22"/>
          <w:szCs w:val="22"/>
        </w:rPr>
        <w:t xml:space="preserve">pplication by the </w:t>
      </w:r>
      <w:r w:rsidR="00C21000">
        <w:rPr>
          <w:rFonts w:ascii="Arial" w:hAnsi="Arial" w:cs="Arial"/>
          <w:color w:val="222222"/>
          <w:sz w:val="22"/>
          <w:szCs w:val="22"/>
        </w:rPr>
        <w:t>A</w:t>
      </w:r>
      <w:r w:rsidRPr="0044077B">
        <w:rPr>
          <w:rFonts w:ascii="Arial" w:hAnsi="Arial" w:cs="Arial"/>
          <w:color w:val="222222"/>
          <w:sz w:val="22"/>
          <w:szCs w:val="22"/>
        </w:rPr>
        <w:t xml:space="preserve">pplicant, and a Cross-Review application by the First Respondent against the award of the Arbitrator, Mr. S.M. Rantho, a CCMA </w:t>
      </w:r>
      <w:r w:rsidR="00C21000">
        <w:rPr>
          <w:rFonts w:ascii="Arial" w:hAnsi="Arial" w:cs="Arial"/>
          <w:color w:val="222222"/>
          <w:sz w:val="22"/>
          <w:szCs w:val="22"/>
        </w:rPr>
        <w:t>C</w:t>
      </w:r>
      <w:r w:rsidRPr="0044077B">
        <w:rPr>
          <w:rFonts w:ascii="Arial" w:hAnsi="Arial" w:cs="Arial"/>
          <w:color w:val="222222"/>
          <w:sz w:val="22"/>
          <w:szCs w:val="22"/>
        </w:rPr>
        <w:t xml:space="preserve">ommissioner. At the Labour Court, both the </w:t>
      </w:r>
      <w:r w:rsidR="00C21000">
        <w:rPr>
          <w:rFonts w:ascii="Arial" w:hAnsi="Arial" w:cs="Arial"/>
          <w:color w:val="222222"/>
          <w:sz w:val="22"/>
          <w:szCs w:val="22"/>
        </w:rPr>
        <w:t>A</w:t>
      </w:r>
      <w:r w:rsidRPr="0044077B">
        <w:rPr>
          <w:rFonts w:ascii="Arial" w:hAnsi="Arial" w:cs="Arial"/>
          <w:color w:val="222222"/>
          <w:sz w:val="22"/>
          <w:szCs w:val="22"/>
        </w:rPr>
        <w:t xml:space="preserve">pplicant and the </w:t>
      </w:r>
      <w:r w:rsidR="00C21000">
        <w:rPr>
          <w:rFonts w:ascii="Arial" w:hAnsi="Arial" w:cs="Arial"/>
          <w:color w:val="222222"/>
          <w:sz w:val="22"/>
          <w:szCs w:val="22"/>
        </w:rPr>
        <w:t>First R</w:t>
      </w:r>
      <w:r w:rsidRPr="0044077B">
        <w:rPr>
          <w:rFonts w:ascii="Arial" w:hAnsi="Arial" w:cs="Arial"/>
          <w:color w:val="222222"/>
          <w:sz w:val="22"/>
          <w:szCs w:val="22"/>
        </w:rPr>
        <w:t>espondent were represented by</w:t>
      </w:r>
      <w:r w:rsidR="0044077B">
        <w:rPr>
          <w:rFonts w:ascii="Arial" w:hAnsi="Arial" w:cs="Arial"/>
          <w:color w:val="222222"/>
          <w:sz w:val="22"/>
          <w:szCs w:val="22"/>
        </w:rPr>
        <w:t xml:space="preserve"> the</w:t>
      </w:r>
      <w:r w:rsidRPr="0044077B">
        <w:rPr>
          <w:rFonts w:ascii="Arial" w:hAnsi="Arial" w:cs="Arial"/>
          <w:color w:val="222222"/>
          <w:sz w:val="22"/>
          <w:szCs w:val="22"/>
        </w:rPr>
        <w:t xml:space="preserve"> private legal firm Edward Nathan Sonne</w:t>
      </w:r>
      <w:r w:rsidR="0044077B">
        <w:rPr>
          <w:rFonts w:ascii="Arial" w:hAnsi="Arial" w:cs="Arial"/>
          <w:color w:val="222222"/>
          <w:sz w:val="22"/>
          <w:szCs w:val="22"/>
        </w:rPr>
        <w:t>n</w:t>
      </w:r>
      <w:r w:rsidRPr="0044077B">
        <w:rPr>
          <w:rFonts w:ascii="Arial" w:hAnsi="Arial" w:cs="Arial"/>
          <w:color w:val="222222"/>
          <w:sz w:val="22"/>
          <w:szCs w:val="22"/>
        </w:rPr>
        <w:t>bergs</w:t>
      </w:r>
      <w:r w:rsidR="0044077B">
        <w:rPr>
          <w:rFonts w:ascii="Arial" w:hAnsi="Arial" w:cs="Arial"/>
          <w:color w:val="222222"/>
          <w:sz w:val="22"/>
          <w:szCs w:val="22"/>
        </w:rPr>
        <w:t>.</w:t>
      </w:r>
    </w:p>
    <w:p w14:paraId="524C720A" w14:textId="77777777" w:rsidR="001E0A0D" w:rsidRPr="0044077B" w:rsidRDefault="001E0A0D" w:rsidP="0044077B">
      <w:pPr>
        <w:pStyle w:val="NormalWeb"/>
        <w:spacing w:after="160"/>
        <w:rPr>
          <w:rFonts w:ascii="Arial" w:hAnsi="Arial" w:cs="Arial"/>
          <w:sz w:val="22"/>
          <w:szCs w:val="22"/>
        </w:rPr>
      </w:pPr>
      <w:r w:rsidRPr="0044077B">
        <w:rPr>
          <w:rFonts w:ascii="Arial" w:hAnsi="Arial" w:cs="Arial"/>
          <w:color w:val="222222"/>
          <w:sz w:val="22"/>
          <w:szCs w:val="22"/>
        </w:rPr>
        <w:t>On 1 August 2011, the Arbitrator found that the dismissal of the First Respondent was substantively unfair, ordering the reinstatement and backpay compensation in favour of the First Respondent, also replacing his dismissal from the employment of the Applicant with a final written warning valid for 12 months from the date of issue.</w:t>
      </w:r>
    </w:p>
    <w:p w14:paraId="59BFBF20" w14:textId="08ACD1B0" w:rsidR="001E0A0D" w:rsidRPr="0044077B" w:rsidRDefault="001E0A0D" w:rsidP="0044077B">
      <w:pPr>
        <w:pStyle w:val="NormalWeb"/>
        <w:spacing w:after="160"/>
        <w:rPr>
          <w:rFonts w:ascii="Arial" w:hAnsi="Arial" w:cs="Arial"/>
          <w:sz w:val="22"/>
          <w:szCs w:val="22"/>
        </w:rPr>
      </w:pPr>
      <w:r w:rsidRPr="0044077B">
        <w:rPr>
          <w:rFonts w:ascii="Arial" w:hAnsi="Arial" w:cs="Arial"/>
          <w:color w:val="222222"/>
          <w:sz w:val="22"/>
          <w:szCs w:val="22"/>
        </w:rPr>
        <w:t>The Applicant charged the First Respondent with gross insubordination after he failed to report for duty as requested by the Applicant. The First Respondent, who was represented by his union, National Union of Mineworkers (NUM), was found guilty at the disciplinary enquiry held on 28 January 2014, and he was dismissed by the Applicant on 16 January 2014</w:t>
      </w:r>
      <w:r w:rsidR="00C21000">
        <w:rPr>
          <w:rFonts w:ascii="Arial" w:hAnsi="Arial" w:cs="Arial"/>
          <w:color w:val="222222"/>
          <w:sz w:val="22"/>
          <w:szCs w:val="22"/>
        </w:rPr>
        <w:t>.</w:t>
      </w:r>
      <w:r w:rsidRPr="0044077B">
        <w:rPr>
          <w:rFonts w:ascii="Arial" w:hAnsi="Arial" w:cs="Arial"/>
          <w:color w:val="222222"/>
          <w:sz w:val="22"/>
          <w:szCs w:val="22"/>
        </w:rPr>
        <w:t xml:space="preserve"> His appeal was dismissed on 7 February 2014.</w:t>
      </w:r>
    </w:p>
    <w:p w14:paraId="19085E39" w14:textId="173EC555" w:rsidR="001E0A0D" w:rsidRDefault="001E0A0D" w:rsidP="0044077B">
      <w:pPr>
        <w:pStyle w:val="NormalWeb"/>
        <w:spacing w:after="160"/>
        <w:rPr>
          <w:rFonts w:ascii="Arial" w:hAnsi="Arial" w:cs="Arial"/>
          <w:color w:val="222222"/>
          <w:sz w:val="22"/>
          <w:szCs w:val="22"/>
        </w:rPr>
      </w:pPr>
      <w:r w:rsidRPr="0044077B">
        <w:rPr>
          <w:rFonts w:ascii="Arial" w:hAnsi="Arial" w:cs="Arial"/>
          <w:color w:val="222222"/>
          <w:sz w:val="22"/>
          <w:szCs w:val="22"/>
        </w:rPr>
        <w:t>A detailed account of the Glencore case will be discussed in this report and will include a description of all the role players present during the Glencore case; a transgression description; the facts pertaining to the case; as well as the mitigating factors which were evident during the case.</w:t>
      </w:r>
    </w:p>
    <w:p w14:paraId="5E25155C" w14:textId="77777777" w:rsidR="0044077B" w:rsidRPr="0044077B" w:rsidRDefault="0044077B" w:rsidP="0044077B">
      <w:pPr>
        <w:pStyle w:val="NormalWeb"/>
        <w:spacing w:after="160"/>
        <w:rPr>
          <w:rFonts w:ascii="Arial" w:hAnsi="Arial" w:cs="Arial"/>
          <w:sz w:val="22"/>
          <w:szCs w:val="22"/>
        </w:rPr>
      </w:pPr>
    </w:p>
    <w:p w14:paraId="71136933" w14:textId="77777777" w:rsidR="001E0A0D" w:rsidRPr="0044077B" w:rsidRDefault="001E0A0D" w:rsidP="0044077B">
      <w:pPr>
        <w:pStyle w:val="NormalWeb"/>
        <w:numPr>
          <w:ilvl w:val="0"/>
          <w:numId w:val="33"/>
        </w:numPr>
        <w:spacing w:after="160"/>
        <w:textAlignment w:val="baseline"/>
        <w:rPr>
          <w:rFonts w:ascii="Arial" w:hAnsi="Arial" w:cs="Arial"/>
          <w:b/>
          <w:bCs/>
          <w:color w:val="222222"/>
        </w:rPr>
      </w:pPr>
      <w:r w:rsidRPr="0044077B">
        <w:rPr>
          <w:rFonts w:ascii="Arial" w:hAnsi="Arial" w:cs="Arial"/>
          <w:b/>
          <w:bCs/>
          <w:color w:val="222222"/>
        </w:rPr>
        <w:t>Role players during the Glencore case</w:t>
      </w:r>
    </w:p>
    <w:p w14:paraId="10B7C816" w14:textId="77777777" w:rsidR="001E0A0D" w:rsidRPr="0044077B" w:rsidRDefault="001E0A0D" w:rsidP="0044077B">
      <w:pPr>
        <w:pStyle w:val="NormalWeb"/>
        <w:spacing w:before="240" w:after="0"/>
        <w:rPr>
          <w:rFonts w:ascii="Arial" w:hAnsi="Arial" w:cs="Arial"/>
          <w:sz w:val="22"/>
          <w:szCs w:val="22"/>
        </w:rPr>
      </w:pPr>
      <w:r w:rsidRPr="0044077B">
        <w:rPr>
          <w:rFonts w:ascii="Arial" w:hAnsi="Arial" w:cs="Arial"/>
          <w:color w:val="222222"/>
          <w:sz w:val="22"/>
          <w:szCs w:val="22"/>
        </w:rPr>
        <w:t xml:space="preserve">The following role players form a central part of the </w:t>
      </w:r>
      <w:r w:rsidRPr="0044077B">
        <w:rPr>
          <w:rFonts w:ascii="Arial" w:hAnsi="Arial" w:cs="Arial"/>
          <w:i/>
          <w:iCs/>
          <w:color w:val="222222"/>
          <w:sz w:val="22"/>
          <w:szCs w:val="22"/>
        </w:rPr>
        <w:t xml:space="preserve">Glencore </w:t>
      </w:r>
      <w:r w:rsidRPr="0044077B">
        <w:rPr>
          <w:rFonts w:ascii="Arial" w:hAnsi="Arial" w:cs="Arial"/>
          <w:color w:val="222222"/>
          <w:sz w:val="22"/>
          <w:szCs w:val="22"/>
        </w:rPr>
        <w:t>case and will be referred to throughout this report as follow:</w:t>
      </w:r>
    </w:p>
    <w:p w14:paraId="75839F86" w14:textId="77777777" w:rsidR="001E0A0D" w:rsidRPr="0044077B" w:rsidRDefault="001E0A0D" w:rsidP="0044077B">
      <w:pPr>
        <w:pStyle w:val="NormalWeb"/>
        <w:numPr>
          <w:ilvl w:val="0"/>
          <w:numId w:val="34"/>
        </w:numPr>
        <w:spacing w:before="240" w:after="0"/>
        <w:textAlignment w:val="baseline"/>
        <w:rPr>
          <w:rFonts w:ascii="Arial" w:hAnsi="Arial" w:cs="Arial"/>
          <w:color w:val="222222"/>
          <w:sz w:val="22"/>
          <w:szCs w:val="22"/>
        </w:rPr>
      </w:pPr>
      <w:r w:rsidRPr="0044077B">
        <w:rPr>
          <w:rFonts w:ascii="Arial" w:hAnsi="Arial" w:cs="Arial"/>
          <w:b/>
          <w:bCs/>
          <w:color w:val="222222"/>
          <w:sz w:val="22"/>
          <w:szCs w:val="22"/>
        </w:rPr>
        <w:t>Applicant/employer:</w:t>
      </w:r>
      <w:r w:rsidRPr="0044077B">
        <w:rPr>
          <w:rFonts w:ascii="Arial" w:hAnsi="Arial" w:cs="Arial"/>
          <w:color w:val="222222"/>
          <w:sz w:val="22"/>
          <w:szCs w:val="22"/>
        </w:rPr>
        <w:t xml:space="preserve"> Glencore Operations South Africa</w:t>
      </w:r>
    </w:p>
    <w:p w14:paraId="558BC5F9" w14:textId="77777777" w:rsidR="001E0A0D" w:rsidRPr="0044077B" w:rsidRDefault="001E0A0D" w:rsidP="0044077B">
      <w:pPr>
        <w:pStyle w:val="NormalWeb"/>
        <w:numPr>
          <w:ilvl w:val="0"/>
          <w:numId w:val="34"/>
        </w:numPr>
        <w:spacing w:after="0"/>
        <w:textAlignment w:val="baseline"/>
        <w:rPr>
          <w:rFonts w:ascii="Arial" w:hAnsi="Arial" w:cs="Arial"/>
          <w:color w:val="222222"/>
          <w:sz w:val="22"/>
          <w:szCs w:val="22"/>
        </w:rPr>
      </w:pPr>
      <w:r w:rsidRPr="0044077B">
        <w:rPr>
          <w:rFonts w:ascii="Arial" w:hAnsi="Arial" w:cs="Arial"/>
          <w:b/>
          <w:bCs/>
          <w:color w:val="222222"/>
          <w:sz w:val="22"/>
          <w:szCs w:val="22"/>
        </w:rPr>
        <w:t>First Respondent/employee:</w:t>
      </w:r>
      <w:r w:rsidRPr="0044077B">
        <w:rPr>
          <w:rFonts w:ascii="Arial" w:hAnsi="Arial" w:cs="Arial"/>
          <w:color w:val="222222"/>
          <w:sz w:val="22"/>
          <w:szCs w:val="22"/>
        </w:rPr>
        <w:t xml:space="preserve"> NUM, on behalf of member Simon Maripane</w:t>
      </w:r>
    </w:p>
    <w:p w14:paraId="6E36C9AE" w14:textId="77777777" w:rsidR="001E0A0D" w:rsidRPr="0044077B" w:rsidRDefault="001E0A0D" w:rsidP="0044077B">
      <w:pPr>
        <w:pStyle w:val="NormalWeb"/>
        <w:numPr>
          <w:ilvl w:val="0"/>
          <w:numId w:val="34"/>
        </w:numPr>
        <w:spacing w:after="0"/>
        <w:textAlignment w:val="baseline"/>
        <w:rPr>
          <w:rFonts w:ascii="Arial" w:hAnsi="Arial" w:cs="Arial"/>
          <w:color w:val="222222"/>
          <w:sz w:val="22"/>
          <w:szCs w:val="22"/>
        </w:rPr>
      </w:pPr>
      <w:r w:rsidRPr="0044077B">
        <w:rPr>
          <w:rFonts w:ascii="Arial" w:hAnsi="Arial" w:cs="Arial"/>
          <w:b/>
          <w:bCs/>
          <w:color w:val="222222"/>
          <w:sz w:val="22"/>
          <w:szCs w:val="22"/>
        </w:rPr>
        <w:t>Second Respondent:</w:t>
      </w:r>
      <w:r w:rsidRPr="0044077B">
        <w:rPr>
          <w:rFonts w:ascii="Arial" w:hAnsi="Arial" w:cs="Arial"/>
          <w:color w:val="222222"/>
          <w:sz w:val="22"/>
          <w:szCs w:val="22"/>
        </w:rPr>
        <w:t xml:space="preserve"> Commission for Conciliation, Mediation and Arbitration (CCMA)</w:t>
      </w:r>
    </w:p>
    <w:p w14:paraId="46E40B73" w14:textId="77777777" w:rsidR="001E0A0D" w:rsidRPr="0044077B" w:rsidRDefault="001E0A0D" w:rsidP="0044077B">
      <w:pPr>
        <w:pStyle w:val="NormalWeb"/>
        <w:numPr>
          <w:ilvl w:val="0"/>
          <w:numId w:val="34"/>
        </w:numPr>
        <w:spacing w:after="0"/>
        <w:textAlignment w:val="baseline"/>
        <w:rPr>
          <w:rFonts w:ascii="Arial" w:hAnsi="Arial" w:cs="Arial"/>
          <w:color w:val="222222"/>
          <w:sz w:val="22"/>
          <w:szCs w:val="22"/>
        </w:rPr>
      </w:pPr>
      <w:r w:rsidRPr="0044077B">
        <w:rPr>
          <w:rFonts w:ascii="Arial" w:hAnsi="Arial" w:cs="Arial"/>
          <w:b/>
          <w:bCs/>
          <w:color w:val="222222"/>
          <w:sz w:val="22"/>
          <w:szCs w:val="22"/>
        </w:rPr>
        <w:lastRenderedPageBreak/>
        <w:t>Third respondent/Arbitrator:</w:t>
      </w:r>
      <w:r w:rsidRPr="0044077B">
        <w:rPr>
          <w:rFonts w:ascii="Arial" w:hAnsi="Arial" w:cs="Arial"/>
          <w:color w:val="222222"/>
          <w:sz w:val="22"/>
          <w:szCs w:val="22"/>
        </w:rPr>
        <w:t xml:space="preserve"> Simon Mohubedu Rantho, a Commissioner of the CCMA</w:t>
      </w:r>
    </w:p>
    <w:p w14:paraId="359822B4" w14:textId="77777777" w:rsidR="001E0A0D" w:rsidRPr="0044077B" w:rsidRDefault="001E0A0D" w:rsidP="0044077B">
      <w:pPr>
        <w:pStyle w:val="NormalWeb"/>
        <w:numPr>
          <w:ilvl w:val="0"/>
          <w:numId w:val="34"/>
        </w:numPr>
        <w:spacing w:after="0"/>
        <w:textAlignment w:val="baseline"/>
        <w:rPr>
          <w:rFonts w:ascii="Arial" w:hAnsi="Arial" w:cs="Arial"/>
          <w:color w:val="222222"/>
          <w:sz w:val="22"/>
          <w:szCs w:val="22"/>
        </w:rPr>
      </w:pPr>
      <w:r w:rsidRPr="0044077B">
        <w:rPr>
          <w:rFonts w:ascii="Arial" w:hAnsi="Arial" w:cs="Arial"/>
          <w:b/>
          <w:bCs/>
          <w:color w:val="222222"/>
          <w:sz w:val="22"/>
          <w:szCs w:val="22"/>
        </w:rPr>
        <w:t xml:space="preserve">Acting judge of the Labour Court: </w:t>
      </w:r>
      <w:r w:rsidRPr="0044077B">
        <w:rPr>
          <w:rFonts w:ascii="Arial" w:hAnsi="Arial" w:cs="Arial"/>
          <w:color w:val="222222"/>
          <w:sz w:val="22"/>
          <w:szCs w:val="22"/>
        </w:rPr>
        <w:t>R.A.L. Harper</w:t>
      </w:r>
    </w:p>
    <w:p w14:paraId="28782AC2" w14:textId="77777777" w:rsidR="001E0A0D" w:rsidRPr="0044077B" w:rsidRDefault="001E0A0D" w:rsidP="0044077B">
      <w:pPr>
        <w:pStyle w:val="NormalWeb"/>
        <w:numPr>
          <w:ilvl w:val="0"/>
          <w:numId w:val="34"/>
        </w:numPr>
        <w:spacing w:after="0"/>
        <w:textAlignment w:val="baseline"/>
        <w:rPr>
          <w:rFonts w:ascii="Arial" w:hAnsi="Arial" w:cs="Arial"/>
          <w:color w:val="222222"/>
          <w:sz w:val="22"/>
          <w:szCs w:val="22"/>
        </w:rPr>
      </w:pPr>
      <w:r w:rsidRPr="0044077B">
        <w:rPr>
          <w:rFonts w:ascii="Arial" w:hAnsi="Arial" w:cs="Arial"/>
          <w:b/>
          <w:bCs/>
          <w:color w:val="222222"/>
          <w:sz w:val="22"/>
          <w:szCs w:val="22"/>
        </w:rPr>
        <w:t>Mr. Mthini:</w:t>
      </w:r>
      <w:r w:rsidRPr="0044077B">
        <w:rPr>
          <w:rFonts w:ascii="Arial" w:hAnsi="Arial" w:cs="Arial"/>
          <w:color w:val="222222"/>
          <w:sz w:val="22"/>
          <w:szCs w:val="22"/>
        </w:rPr>
        <w:t xml:space="preserve"> representing the First Respondent NUM official </w:t>
      </w:r>
    </w:p>
    <w:p w14:paraId="250D2660" w14:textId="77777777" w:rsidR="001E0A0D" w:rsidRPr="0044077B" w:rsidRDefault="001E0A0D" w:rsidP="0044077B">
      <w:pPr>
        <w:pStyle w:val="NormalWeb"/>
        <w:numPr>
          <w:ilvl w:val="0"/>
          <w:numId w:val="34"/>
        </w:numPr>
        <w:spacing w:after="0"/>
        <w:textAlignment w:val="baseline"/>
        <w:rPr>
          <w:rFonts w:ascii="Arial" w:hAnsi="Arial" w:cs="Arial"/>
          <w:color w:val="222222"/>
          <w:sz w:val="22"/>
          <w:szCs w:val="22"/>
        </w:rPr>
      </w:pPr>
      <w:r w:rsidRPr="0044077B">
        <w:rPr>
          <w:rFonts w:ascii="Arial" w:hAnsi="Arial" w:cs="Arial"/>
          <w:b/>
          <w:bCs/>
          <w:color w:val="222222"/>
          <w:sz w:val="22"/>
          <w:szCs w:val="22"/>
        </w:rPr>
        <w:t>Mr. D. Masher:</w:t>
      </w:r>
      <w:r w:rsidRPr="0044077B">
        <w:rPr>
          <w:rFonts w:ascii="Arial" w:hAnsi="Arial" w:cs="Arial"/>
          <w:color w:val="222222"/>
          <w:sz w:val="22"/>
          <w:szCs w:val="22"/>
        </w:rPr>
        <w:t xml:space="preserve"> lawyer</w:t>
      </w:r>
      <w:r w:rsidRPr="0044077B">
        <w:rPr>
          <w:rFonts w:ascii="Arial" w:hAnsi="Arial" w:cs="Arial"/>
          <w:b/>
          <w:bCs/>
          <w:color w:val="222222"/>
          <w:sz w:val="22"/>
          <w:szCs w:val="22"/>
        </w:rPr>
        <w:t xml:space="preserve"> </w:t>
      </w:r>
      <w:r w:rsidRPr="0044077B">
        <w:rPr>
          <w:rFonts w:ascii="Arial" w:hAnsi="Arial" w:cs="Arial"/>
          <w:color w:val="222222"/>
          <w:sz w:val="22"/>
          <w:szCs w:val="22"/>
        </w:rPr>
        <w:t>from Edward Nathan Sonnenbergs representing the Applicant</w:t>
      </w:r>
    </w:p>
    <w:p w14:paraId="0485F8CF" w14:textId="534474A8" w:rsidR="001E0A0D" w:rsidRPr="0044077B" w:rsidRDefault="001E0A0D" w:rsidP="0044077B">
      <w:pPr>
        <w:pStyle w:val="NormalWeb"/>
        <w:numPr>
          <w:ilvl w:val="0"/>
          <w:numId w:val="34"/>
        </w:numPr>
        <w:spacing w:after="0"/>
        <w:textAlignment w:val="baseline"/>
        <w:rPr>
          <w:rFonts w:ascii="Arial" w:hAnsi="Arial" w:cs="Arial"/>
          <w:color w:val="222222"/>
          <w:sz w:val="22"/>
          <w:szCs w:val="22"/>
        </w:rPr>
      </w:pPr>
      <w:r w:rsidRPr="0044077B">
        <w:rPr>
          <w:rFonts w:ascii="Arial" w:hAnsi="Arial" w:cs="Arial"/>
          <w:b/>
          <w:bCs/>
          <w:color w:val="222222"/>
          <w:sz w:val="22"/>
          <w:szCs w:val="22"/>
        </w:rPr>
        <w:t xml:space="preserve">Mr. E.S. Makinta: </w:t>
      </w:r>
      <w:r w:rsidRPr="0044077B">
        <w:rPr>
          <w:rFonts w:ascii="Arial" w:hAnsi="Arial" w:cs="Arial"/>
          <w:color w:val="222222"/>
          <w:sz w:val="22"/>
          <w:szCs w:val="22"/>
        </w:rPr>
        <w:t xml:space="preserve">lawyer, also from Edward Nathan Sonnenbergs, representing the First Respondent at </w:t>
      </w:r>
      <w:r w:rsidR="00C21000">
        <w:rPr>
          <w:rFonts w:ascii="Arial" w:hAnsi="Arial" w:cs="Arial"/>
          <w:color w:val="222222"/>
          <w:sz w:val="22"/>
          <w:szCs w:val="22"/>
        </w:rPr>
        <w:t xml:space="preserve">the </w:t>
      </w:r>
      <w:r w:rsidRPr="0044077B">
        <w:rPr>
          <w:rFonts w:ascii="Arial" w:hAnsi="Arial" w:cs="Arial"/>
          <w:color w:val="222222"/>
          <w:sz w:val="22"/>
          <w:szCs w:val="22"/>
        </w:rPr>
        <w:t>Labour Court </w:t>
      </w:r>
    </w:p>
    <w:p w14:paraId="22A6DF10" w14:textId="170B533C" w:rsidR="001E0A0D" w:rsidRPr="0044077B" w:rsidRDefault="001E0A0D" w:rsidP="0044077B">
      <w:pPr>
        <w:pStyle w:val="NormalWeb"/>
        <w:numPr>
          <w:ilvl w:val="0"/>
          <w:numId w:val="34"/>
        </w:numPr>
        <w:spacing w:after="0"/>
        <w:textAlignment w:val="baseline"/>
        <w:rPr>
          <w:rFonts w:ascii="Arial" w:hAnsi="Arial" w:cs="Arial"/>
          <w:color w:val="222222"/>
          <w:sz w:val="22"/>
          <w:szCs w:val="22"/>
        </w:rPr>
      </w:pPr>
      <w:r w:rsidRPr="0044077B">
        <w:rPr>
          <w:rFonts w:ascii="Arial" w:hAnsi="Arial" w:cs="Arial"/>
          <w:b/>
          <w:bCs/>
          <w:color w:val="222222"/>
          <w:sz w:val="22"/>
          <w:szCs w:val="22"/>
        </w:rPr>
        <w:t>Ms. Colleen Tema:</w:t>
      </w:r>
      <w:r w:rsidRPr="0044077B">
        <w:rPr>
          <w:rFonts w:ascii="Arial" w:hAnsi="Arial" w:cs="Arial"/>
          <w:color w:val="222222"/>
          <w:sz w:val="22"/>
          <w:szCs w:val="22"/>
        </w:rPr>
        <w:t xml:space="preserve"> witness for the </w:t>
      </w:r>
      <w:r w:rsidR="00C21000">
        <w:rPr>
          <w:rFonts w:ascii="Arial" w:hAnsi="Arial" w:cs="Arial"/>
          <w:color w:val="222222"/>
          <w:sz w:val="22"/>
          <w:szCs w:val="22"/>
        </w:rPr>
        <w:t>A</w:t>
      </w:r>
      <w:r w:rsidRPr="0044077B">
        <w:rPr>
          <w:rFonts w:ascii="Arial" w:hAnsi="Arial" w:cs="Arial"/>
          <w:color w:val="222222"/>
          <w:sz w:val="22"/>
          <w:szCs w:val="22"/>
        </w:rPr>
        <w:t>pplicant</w:t>
      </w:r>
    </w:p>
    <w:p w14:paraId="76C835B0" w14:textId="77777777" w:rsidR="001E0A0D" w:rsidRPr="0044077B" w:rsidRDefault="001E0A0D" w:rsidP="0044077B">
      <w:pPr>
        <w:pStyle w:val="NormalWeb"/>
        <w:numPr>
          <w:ilvl w:val="0"/>
          <w:numId w:val="34"/>
        </w:numPr>
        <w:spacing w:after="0"/>
        <w:textAlignment w:val="baseline"/>
        <w:rPr>
          <w:rFonts w:ascii="Arial" w:hAnsi="Arial" w:cs="Arial"/>
          <w:color w:val="222222"/>
          <w:sz w:val="22"/>
          <w:szCs w:val="22"/>
        </w:rPr>
      </w:pPr>
      <w:r w:rsidRPr="0044077B">
        <w:rPr>
          <w:rFonts w:ascii="Arial" w:hAnsi="Arial" w:cs="Arial"/>
          <w:b/>
          <w:bCs/>
          <w:color w:val="222222"/>
          <w:sz w:val="22"/>
          <w:szCs w:val="22"/>
        </w:rPr>
        <w:t>The shop steward:</w:t>
      </w:r>
      <w:r w:rsidRPr="0044077B">
        <w:rPr>
          <w:rFonts w:ascii="Arial" w:hAnsi="Arial" w:cs="Arial"/>
          <w:color w:val="222222"/>
          <w:sz w:val="22"/>
          <w:szCs w:val="22"/>
        </w:rPr>
        <w:t xml:space="preserve"> Simon Maripane, the First Respondent, was the appointed Full-Time Health and Safety Shop Steward for the Applicant, Glencore</w:t>
      </w:r>
    </w:p>
    <w:p w14:paraId="79C088B6" w14:textId="28B56E8D" w:rsidR="001E0A0D" w:rsidRPr="0044077B" w:rsidRDefault="001E0A0D" w:rsidP="0044077B">
      <w:pPr>
        <w:rPr>
          <w:rFonts w:ascii="Arial" w:hAnsi="Arial" w:cs="Arial"/>
          <w:sz w:val="22"/>
          <w:szCs w:val="22"/>
        </w:rPr>
      </w:pPr>
    </w:p>
    <w:p w14:paraId="6A499DFC" w14:textId="77777777" w:rsidR="001E0A0D" w:rsidRPr="0044077B" w:rsidRDefault="001E0A0D" w:rsidP="0044077B">
      <w:pPr>
        <w:pStyle w:val="NormalWeb"/>
        <w:numPr>
          <w:ilvl w:val="0"/>
          <w:numId w:val="35"/>
        </w:numPr>
        <w:spacing w:before="240" w:after="0"/>
        <w:textAlignment w:val="baseline"/>
        <w:rPr>
          <w:rFonts w:ascii="Arial" w:hAnsi="Arial" w:cs="Arial"/>
          <w:b/>
          <w:bCs/>
          <w:color w:val="222222"/>
        </w:rPr>
      </w:pPr>
      <w:r w:rsidRPr="0044077B">
        <w:rPr>
          <w:rFonts w:ascii="Arial" w:hAnsi="Arial" w:cs="Arial"/>
          <w:b/>
          <w:bCs/>
          <w:color w:val="222222"/>
        </w:rPr>
        <w:t>Transgression description</w:t>
      </w:r>
    </w:p>
    <w:p w14:paraId="253EADBB" w14:textId="6F2D78DC" w:rsidR="001E0A0D" w:rsidRDefault="001E0A0D" w:rsidP="0044077B">
      <w:pPr>
        <w:pStyle w:val="NormalWeb"/>
        <w:shd w:val="clear" w:color="auto" w:fill="FFFFFF"/>
        <w:spacing w:before="240" w:after="0"/>
        <w:rPr>
          <w:rFonts w:ascii="Arial" w:hAnsi="Arial" w:cs="Arial"/>
          <w:color w:val="222222"/>
          <w:sz w:val="22"/>
          <w:szCs w:val="22"/>
        </w:rPr>
      </w:pPr>
      <w:r w:rsidRPr="0044077B">
        <w:rPr>
          <w:rFonts w:ascii="Arial" w:hAnsi="Arial" w:cs="Arial"/>
          <w:color w:val="222222"/>
          <w:sz w:val="22"/>
          <w:szCs w:val="22"/>
        </w:rPr>
        <w:t xml:space="preserve">The First Respondent was informed by the Applicant on 26 September 2013 after an election had taken place that </w:t>
      </w:r>
      <w:r w:rsidR="00C21000">
        <w:rPr>
          <w:rFonts w:ascii="Arial" w:hAnsi="Arial" w:cs="Arial"/>
          <w:color w:val="222222"/>
          <w:sz w:val="22"/>
          <w:szCs w:val="22"/>
        </w:rPr>
        <w:t>he</w:t>
      </w:r>
      <w:r w:rsidRPr="0044077B">
        <w:rPr>
          <w:rFonts w:ascii="Arial" w:hAnsi="Arial" w:cs="Arial"/>
          <w:color w:val="222222"/>
          <w:sz w:val="22"/>
          <w:szCs w:val="22"/>
        </w:rPr>
        <w:t xml:space="preserve"> will be removed from his position as “Full-Time Health and Safety Shop Steward” to “Raw Materials Operator” for the period between 19 September 2013 to 19 September 2016 (</w:t>
      </w:r>
      <w:r w:rsidRPr="0044077B">
        <w:rPr>
          <w:rFonts w:ascii="Arial" w:hAnsi="Arial" w:cs="Arial"/>
          <w:i/>
          <w:iCs/>
          <w:color w:val="222222"/>
          <w:sz w:val="22"/>
          <w:szCs w:val="22"/>
        </w:rPr>
        <w:t xml:space="preserve">Glencore, </w:t>
      </w:r>
      <w:r w:rsidRPr="0044077B">
        <w:rPr>
          <w:rFonts w:ascii="Arial" w:hAnsi="Arial" w:cs="Arial"/>
          <w:color w:val="222222"/>
          <w:sz w:val="22"/>
          <w:szCs w:val="22"/>
        </w:rPr>
        <w:t>2016). The First Respondent failed and refused to obey that instruction, as he did not return to that position as from 1 December 2013 to carry out his duties and responsibilities. During another meeting in December 2013, the First Respondent was reminded and told by the Applicant accordingly about the new instruction. The First Respondent again failed and refused to obey the instruction (</w:t>
      </w:r>
      <w:r w:rsidRPr="0044077B">
        <w:rPr>
          <w:rFonts w:ascii="Arial" w:hAnsi="Arial" w:cs="Arial"/>
          <w:i/>
          <w:iCs/>
          <w:color w:val="222222"/>
          <w:sz w:val="22"/>
          <w:szCs w:val="22"/>
        </w:rPr>
        <w:t xml:space="preserve">Glencore, </w:t>
      </w:r>
      <w:r w:rsidRPr="0044077B">
        <w:rPr>
          <w:rFonts w:ascii="Arial" w:hAnsi="Arial" w:cs="Arial"/>
          <w:color w:val="222222"/>
          <w:sz w:val="22"/>
          <w:szCs w:val="22"/>
        </w:rPr>
        <w:t>2016).</w:t>
      </w:r>
    </w:p>
    <w:p w14:paraId="688E0084" w14:textId="77777777" w:rsidR="0044077B" w:rsidRPr="0044077B" w:rsidRDefault="0044077B" w:rsidP="0044077B">
      <w:pPr>
        <w:pStyle w:val="NormalWeb"/>
        <w:shd w:val="clear" w:color="auto" w:fill="FFFFFF"/>
        <w:spacing w:before="240" w:after="0"/>
        <w:rPr>
          <w:rFonts w:ascii="Arial" w:hAnsi="Arial" w:cs="Arial"/>
          <w:sz w:val="22"/>
          <w:szCs w:val="22"/>
        </w:rPr>
      </w:pPr>
    </w:p>
    <w:p w14:paraId="709BA8F6" w14:textId="7333C90B" w:rsidR="001E0A0D" w:rsidRPr="0044077B" w:rsidRDefault="001E0A0D" w:rsidP="0044077B">
      <w:pPr>
        <w:pStyle w:val="NormalWeb"/>
        <w:shd w:val="clear" w:color="auto" w:fill="FFFFFF"/>
        <w:spacing w:after="0"/>
        <w:rPr>
          <w:rFonts w:ascii="Arial" w:hAnsi="Arial" w:cs="Arial"/>
          <w:sz w:val="22"/>
          <w:szCs w:val="22"/>
        </w:rPr>
      </w:pPr>
      <w:r w:rsidRPr="0044077B">
        <w:rPr>
          <w:rFonts w:ascii="Arial" w:hAnsi="Arial" w:cs="Arial"/>
          <w:color w:val="222222"/>
          <w:sz w:val="22"/>
          <w:szCs w:val="22"/>
          <w:shd w:val="clear" w:color="auto" w:fill="FFFFFF"/>
        </w:rPr>
        <w:t xml:space="preserve">During late December 2013 the First Respondent was called to another meeting with the Applicant where he was once again instructed </w:t>
      </w:r>
      <w:r w:rsidRPr="0044077B">
        <w:rPr>
          <w:rFonts w:ascii="Arial" w:hAnsi="Arial" w:cs="Arial"/>
          <w:color w:val="222222"/>
          <w:sz w:val="22"/>
          <w:szCs w:val="22"/>
        </w:rPr>
        <w:t>to return to his position and where he was further warned that there could be disciplinary implications if he failed to obey and comply with the instruction given. The Applicant warned the First Respondent on 31 December 2013 that his refusal or failure to return to the position constituted misconduct. The Applicant also explained to him that failure to return to his position would result in charges of disciplinary offences brought against him and he would be required to attend a disciplinary enquiry. The First Respondent failed to obey the Applicant’s instructions once again, which led to the disciplinary hearing which took place on 28 January 2014 (</w:t>
      </w:r>
      <w:r w:rsidRPr="0044077B">
        <w:rPr>
          <w:rFonts w:ascii="Arial" w:hAnsi="Arial" w:cs="Arial"/>
          <w:i/>
          <w:iCs/>
          <w:color w:val="222222"/>
          <w:sz w:val="22"/>
          <w:szCs w:val="22"/>
        </w:rPr>
        <w:t xml:space="preserve">Glencore, </w:t>
      </w:r>
      <w:r w:rsidRPr="0044077B">
        <w:rPr>
          <w:rFonts w:ascii="Arial" w:hAnsi="Arial" w:cs="Arial"/>
          <w:color w:val="222222"/>
          <w:sz w:val="22"/>
          <w:szCs w:val="22"/>
        </w:rPr>
        <w:t>2016). The Applicant made charges of gross insubordination against the First Respondent on the basis that the instruction had been repeated and the insubordination was serious in nature</w:t>
      </w:r>
      <w:r w:rsidR="000A1B38">
        <w:rPr>
          <w:rFonts w:ascii="Arial" w:hAnsi="Arial" w:cs="Arial"/>
          <w:color w:val="222222"/>
          <w:sz w:val="22"/>
          <w:szCs w:val="22"/>
        </w:rPr>
        <w:t xml:space="preserve"> (</w:t>
      </w:r>
      <w:r w:rsidR="000A1B38">
        <w:rPr>
          <w:rFonts w:ascii="Arial" w:hAnsi="Arial" w:cs="Arial"/>
          <w:i/>
          <w:iCs/>
          <w:color w:val="222222"/>
          <w:sz w:val="22"/>
          <w:szCs w:val="22"/>
        </w:rPr>
        <w:t xml:space="preserve">Glencore, </w:t>
      </w:r>
      <w:r w:rsidR="000A1B38">
        <w:rPr>
          <w:rFonts w:ascii="Arial" w:hAnsi="Arial" w:cs="Arial"/>
          <w:color w:val="222222"/>
          <w:sz w:val="22"/>
          <w:szCs w:val="22"/>
        </w:rPr>
        <w:t>2016)</w:t>
      </w:r>
      <w:r w:rsidRPr="0044077B">
        <w:rPr>
          <w:rFonts w:ascii="Arial" w:hAnsi="Arial" w:cs="Arial"/>
          <w:color w:val="222222"/>
          <w:sz w:val="22"/>
          <w:szCs w:val="22"/>
        </w:rPr>
        <w:t>.</w:t>
      </w:r>
    </w:p>
    <w:p w14:paraId="083DB958" w14:textId="7B6CCED4" w:rsidR="0044077B" w:rsidRDefault="001E0A0D" w:rsidP="0044077B">
      <w:pPr>
        <w:pStyle w:val="NormalWeb"/>
        <w:shd w:val="clear" w:color="auto" w:fill="FFFFFF"/>
        <w:spacing w:after="0"/>
        <w:rPr>
          <w:rFonts w:ascii="Arial" w:hAnsi="Arial" w:cs="Arial"/>
          <w:sz w:val="22"/>
          <w:szCs w:val="22"/>
        </w:rPr>
      </w:pPr>
      <w:r w:rsidRPr="0044077B">
        <w:rPr>
          <w:rFonts w:ascii="Arial" w:hAnsi="Arial" w:cs="Arial"/>
          <w:sz w:val="22"/>
          <w:szCs w:val="22"/>
        </w:rPr>
        <w:t> </w:t>
      </w:r>
    </w:p>
    <w:p w14:paraId="18478B30" w14:textId="0BB360C5" w:rsidR="00C21000" w:rsidRDefault="00C21000" w:rsidP="0044077B">
      <w:pPr>
        <w:pStyle w:val="NormalWeb"/>
        <w:shd w:val="clear" w:color="auto" w:fill="FFFFFF"/>
        <w:spacing w:after="0"/>
        <w:rPr>
          <w:rFonts w:ascii="Arial" w:hAnsi="Arial" w:cs="Arial"/>
          <w:sz w:val="22"/>
          <w:szCs w:val="22"/>
        </w:rPr>
      </w:pPr>
    </w:p>
    <w:p w14:paraId="7B941F1C" w14:textId="7C7A6230" w:rsidR="00C21000" w:rsidRDefault="00C21000" w:rsidP="0044077B">
      <w:pPr>
        <w:pStyle w:val="NormalWeb"/>
        <w:shd w:val="clear" w:color="auto" w:fill="FFFFFF"/>
        <w:spacing w:after="0"/>
        <w:rPr>
          <w:rFonts w:ascii="Arial" w:hAnsi="Arial" w:cs="Arial"/>
          <w:sz w:val="22"/>
          <w:szCs w:val="22"/>
        </w:rPr>
      </w:pPr>
    </w:p>
    <w:p w14:paraId="7E15D6BA" w14:textId="77777777" w:rsidR="00C21000" w:rsidRPr="0044077B" w:rsidRDefault="00C21000" w:rsidP="0044077B">
      <w:pPr>
        <w:pStyle w:val="NormalWeb"/>
        <w:shd w:val="clear" w:color="auto" w:fill="FFFFFF"/>
        <w:spacing w:after="0"/>
        <w:rPr>
          <w:rFonts w:ascii="Arial" w:hAnsi="Arial" w:cs="Arial"/>
          <w:sz w:val="22"/>
          <w:szCs w:val="22"/>
        </w:rPr>
      </w:pPr>
    </w:p>
    <w:p w14:paraId="0D33877C" w14:textId="77777777" w:rsidR="001E0A0D" w:rsidRPr="0044077B" w:rsidRDefault="001E0A0D" w:rsidP="0044077B">
      <w:pPr>
        <w:pStyle w:val="NormalWeb"/>
        <w:numPr>
          <w:ilvl w:val="0"/>
          <w:numId w:val="36"/>
        </w:numPr>
        <w:spacing w:before="240" w:after="0"/>
        <w:textAlignment w:val="baseline"/>
        <w:rPr>
          <w:rFonts w:ascii="Arial" w:hAnsi="Arial" w:cs="Arial"/>
          <w:b/>
          <w:bCs/>
          <w:color w:val="222222"/>
          <w:sz w:val="22"/>
          <w:szCs w:val="22"/>
        </w:rPr>
      </w:pPr>
      <w:r w:rsidRPr="0044077B">
        <w:rPr>
          <w:rFonts w:ascii="Arial" w:hAnsi="Arial" w:cs="Arial"/>
          <w:b/>
          <w:bCs/>
          <w:color w:val="222222"/>
        </w:rPr>
        <w:lastRenderedPageBreak/>
        <w:t>Facts of the Glencore case</w:t>
      </w:r>
    </w:p>
    <w:p w14:paraId="0CE14C8F"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color w:val="222222"/>
          <w:sz w:val="22"/>
          <w:szCs w:val="22"/>
        </w:rPr>
        <w:t>During the Glencore case, it became clear that the First Respondent repeatedly broke the company’s disciplinary code/company policy. The company’s actions to rectify the behaviour of the First Respondent through disciplinary warnings did not deliver any results. The purpose of the disciplinary codes of the Applicant was to be educational and not punitive. After all else failed, the Applicant dismissed the First Respondent.</w:t>
      </w:r>
    </w:p>
    <w:p w14:paraId="3A42B961"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color w:val="222222"/>
          <w:sz w:val="22"/>
          <w:szCs w:val="22"/>
        </w:rPr>
        <w:t>The statement above is motivated by the following filter tests:</w:t>
      </w:r>
    </w:p>
    <w:p w14:paraId="2CCE9741"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b/>
          <w:bCs/>
          <w:color w:val="222222"/>
          <w:sz w:val="22"/>
          <w:szCs w:val="22"/>
        </w:rPr>
        <w:t>i. Substance</w:t>
      </w:r>
    </w:p>
    <w:p w14:paraId="0C8D6A5D" w14:textId="77777777" w:rsidR="001E0A0D" w:rsidRPr="0044077B" w:rsidRDefault="001E0A0D" w:rsidP="0044077B">
      <w:pPr>
        <w:pStyle w:val="NormalWeb"/>
        <w:numPr>
          <w:ilvl w:val="0"/>
          <w:numId w:val="37"/>
        </w:numPr>
        <w:spacing w:before="240" w:after="0"/>
        <w:textAlignment w:val="baseline"/>
        <w:rPr>
          <w:rFonts w:ascii="Arial" w:hAnsi="Arial" w:cs="Arial"/>
          <w:color w:val="222222"/>
          <w:sz w:val="22"/>
          <w:szCs w:val="22"/>
        </w:rPr>
      </w:pPr>
      <w:r w:rsidRPr="0044077B">
        <w:rPr>
          <w:rFonts w:ascii="Arial" w:hAnsi="Arial" w:cs="Arial"/>
          <w:b/>
          <w:bCs/>
          <w:color w:val="222222"/>
          <w:sz w:val="22"/>
          <w:szCs w:val="22"/>
        </w:rPr>
        <w:t xml:space="preserve">Is there a rule? </w:t>
      </w:r>
      <w:r w:rsidRPr="0044077B">
        <w:rPr>
          <w:rFonts w:ascii="Arial" w:hAnsi="Arial" w:cs="Arial"/>
          <w:color w:val="222222"/>
          <w:sz w:val="22"/>
          <w:szCs w:val="22"/>
        </w:rPr>
        <w:t>Yes, the company’s disciplinary code/company policy.</w:t>
      </w:r>
    </w:p>
    <w:p w14:paraId="28362BC8" w14:textId="77777777" w:rsidR="001E0A0D" w:rsidRPr="0044077B" w:rsidRDefault="001E0A0D" w:rsidP="0044077B">
      <w:pPr>
        <w:pStyle w:val="NormalWeb"/>
        <w:numPr>
          <w:ilvl w:val="0"/>
          <w:numId w:val="37"/>
        </w:numPr>
        <w:spacing w:after="0"/>
        <w:textAlignment w:val="baseline"/>
        <w:rPr>
          <w:rFonts w:ascii="Arial" w:hAnsi="Arial" w:cs="Arial"/>
          <w:color w:val="222222"/>
          <w:sz w:val="22"/>
          <w:szCs w:val="22"/>
        </w:rPr>
      </w:pPr>
      <w:r w:rsidRPr="0044077B">
        <w:rPr>
          <w:rFonts w:ascii="Arial" w:hAnsi="Arial" w:cs="Arial"/>
          <w:b/>
          <w:bCs/>
          <w:color w:val="222222"/>
          <w:sz w:val="22"/>
          <w:szCs w:val="22"/>
        </w:rPr>
        <w:t>Was the rule known?</w:t>
      </w:r>
      <w:r w:rsidRPr="0044077B">
        <w:rPr>
          <w:rFonts w:ascii="Arial" w:hAnsi="Arial" w:cs="Arial"/>
          <w:color w:val="222222"/>
          <w:sz w:val="22"/>
          <w:szCs w:val="22"/>
        </w:rPr>
        <w:t xml:space="preserve"> Yes, the First Respondent received previous warnings for the same offense.</w:t>
      </w:r>
    </w:p>
    <w:p w14:paraId="413A61C3" w14:textId="77777777" w:rsidR="001E0A0D" w:rsidRPr="0044077B" w:rsidRDefault="001E0A0D" w:rsidP="0044077B">
      <w:pPr>
        <w:pStyle w:val="NormalWeb"/>
        <w:numPr>
          <w:ilvl w:val="0"/>
          <w:numId w:val="37"/>
        </w:numPr>
        <w:textAlignment w:val="baseline"/>
        <w:rPr>
          <w:rFonts w:ascii="Arial" w:hAnsi="Arial" w:cs="Arial"/>
          <w:color w:val="222222"/>
          <w:sz w:val="22"/>
          <w:szCs w:val="22"/>
        </w:rPr>
      </w:pPr>
      <w:r w:rsidRPr="0044077B">
        <w:rPr>
          <w:rFonts w:ascii="Arial" w:hAnsi="Arial" w:cs="Arial"/>
          <w:b/>
          <w:bCs/>
          <w:color w:val="222222"/>
          <w:sz w:val="22"/>
          <w:szCs w:val="22"/>
        </w:rPr>
        <w:t>Was the rule broken?</w:t>
      </w:r>
      <w:r w:rsidRPr="0044077B">
        <w:rPr>
          <w:rFonts w:ascii="Arial" w:hAnsi="Arial" w:cs="Arial"/>
          <w:color w:val="222222"/>
          <w:sz w:val="22"/>
          <w:szCs w:val="22"/>
        </w:rPr>
        <w:t xml:space="preserve"> Yes, the First Respondent did not comply with the disciplinary code/company policy even after multiple warnings.</w:t>
      </w:r>
    </w:p>
    <w:p w14:paraId="77C541F7"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b/>
          <w:bCs/>
          <w:color w:val="222222"/>
          <w:sz w:val="22"/>
          <w:szCs w:val="22"/>
        </w:rPr>
        <w:t>ii. Procedure</w:t>
      </w:r>
    </w:p>
    <w:p w14:paraId="65808F8C"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color w:val="222222"/>
          <w:sz w:val="22"/>
          <w:szCs w:val="22"/>
        </w:rPr>
        <w:t>The procedural aspect was not in dispute and it was illustrated by the fact that disciplinary inquiries were held by the Applicant.</w:t>
      </w:r>
    </w:p>
    <w:p w14:paraId="100FE094"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b/>
          <w:bCs/>
          <w:color w:val="222222"/>
          <w:sz w:val="22"/>
          <w:szCs w:val="22"/>
        </w:rPr>
        <w:t>iii. Arbitration</w:t>
      </w:r>
    </w:p>
    <w:p w14:paraId="4C2744C3"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color w:val="222222"/>
          <w:sz w:val="22"/>
          <w:szCs w:val="22"/>
        </w:rPr>
        <w:t>The Commissioner became consumed with the collective agreement and based his finding on that basis instead of focusing on the core of the case.</w:t>
      </w:r>
    </w:p>
    <w:p w14:paraId="1985D31F"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b/>
          <w:bCs/>
          <w:color w:val="222222"/>
          <w:sz w:val="22"/>
          <w:szCs w:val="22"/>
        </w:rPr>
        <w:t>iv. Correct behaviour</w:t>
      </w:r>
    </w:p>
    <w:p w14:paraId="4706AB57" w14:textId="19D51AE6" w:rsidR="001E0A0D" w:rsidRDefault="001E0A0D" w:rsidP="0044077B">
      <w:pPr>
        <w:pStyle w:val="NormalWeb"/>
        <w:spacing w:before="240"/>
        <w:rPr>
          <w:rFonts w:ascii="Arial" w:hAnsi="Arial" w:cs="Arial"/>
          <w:color w:val="222222"/>
          <w:sz w:val="22"/>
          <w:szCs w:val="22"/>
        </w:rPr>
      </w:pPr>
      <w:r w:rsidRPr="0044077B">
        <w:rPr>
          <w:rFonts w:ascii="Arial" w:hAnsi="Arial" w:cs="Arial"/>
          <w:color w:val="222222"/>
          <w:sz w:val="22"/>
          <w:szCs w:val="22"/>
        </w:rPr>
        <w:t>The First Respondent should have recognized the situation he found himself in and addressed the situation by consulting with NUM and the Applicant to reach a solution. If NUM removed him in a manner that did not comply with their own constitution/rules as submitted to the Registrar of the Department of Labour, he should have challenged that aspect. Instead, the First Respondent chose to stonewall the situation by challenging the problem holistically and deal with the symptom of the problem and not the core problem itself.</w:t>
      </w:r>
    </w:p>
    <w:p w14:paraId="1F75B0AA" w14:textId="01072BB3" w:rsidR="0044077B" w:rsidRDefault="0044077B" w:rsidP="0044077B">
      <w:pPr>
        <w:pStyle w:val="NormalWeb"/>
        <w:spacing w:before="240"/>
        <w:rPr>
          <w:rFonts w:ascii="Arial" w:hAnsi="Arial" w:cs="Arial"/>
          <w:color w:val="222222"/>
          <w:sz w:val="22"/>
          <w:szCs w:val="22"/>
        </w:rPr>
      </w:pPr>
    </w:p>
    <w:p w14:paraId="0B241F83" w14:textId="03D9A1E3" w:rsidR="0044077B" w:rsidRDefault="0044077B" w:rsidP="0044077B">
      <w:pPr>
        <w:pStyle w:val="NormalWeb"/>
        <w:spacing w:before="240"/>
        <w:rPr>
          <w:rFonts w:ascii="Arial" w:hAnsi="Arial" w:cs="Arial"/>
          <w:color w:val="222222"/>
          <w:sz w:val="22"/>
          <w:szCs w:val="22"/>
        </w:rPr>
      </w:pPr>
    </w:p>
    <w:p w14:paraId="4F243068" w14:textId="77777777" w:rsidR="0044077B" w:rsidRPr="0044077B" w:rsidRDefault="0044077B" w:rsidP="0044077B">
      <w:pPr>
        <w:pStyle w:val="NormalWeb"/>
        <w:spacing w:before="240"/>
        <w:rPr>
          <w:rFonts w:ascii="Arial" w:hAnsi="Arial" w:cs="Arial"/>
          <w:sz w:val="22"/>
          <w:szCs w:val="22"/>
        </w:rPr>
      </w:pPr>
    </w:p>
    <w:p w14:paraId="65E80EA8" w14:textId="77777777" w:rsidR="001E0A0D" w:rsidRPr="0044077B" w:rsidRDefault="001E0A0D" w:rsidP="0044077B">
      <w:pPr>
        <w:pStyle w:val="NormalWeb"/>
        <w:numPr>
          <w:ilvl w:val="0"/>
          <w:numId w:val="38"/>
        </w:numPr>
        <w:spacing w:before="240" w:after="0"/>
        <w:textAlignment w:val="baseline"/>
        <w:rPr>
          <w:rFonts w:ascii="Arial" w:hAnsi="Arial" w:cs="Arial"/>
          <w:b/>
          <w:bCs/>
          <w:color w:val="222222"/>
          <w:sz w:val="22"/>
          <w:szCs w:val="22"/>
        </w:rPr>
      </w:pPr>
      <w:r w:rsidRPr="0044077B">
        <w:rPr>
          <w:rFonts w:ascii="Arial" w:hAnsi="Arial" w:cs="Arial"/>
          <w:b/>
          <w:bCs/>
          <w:color w:val="222222"/>
        </w:rPr>
        <w:lastRenderedPageBreak/>
        <w:t>Mitigating factors</w:t>
      </w:r>
    </w:p>
    <w:p w14:paraId="12872C02"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color w:val="222222"/>
          <w:sz w:val="22"/>
          <w:szCs w:val="22"/>
        </w:rPr>
        <w:t xml:space="preserve">Mitigating factors can also be referred to as “extenuating circumstances” or “aggravating factors” (Nel </w:t>
      </w:r>
      <w:r w:rsidRPr="0044077B">
        <w:rPr>
          <w:rFonts w:ascii="Arial" w:hAnsi="Arial" w:cs="Arial"/>
          <w:i/>
          <w:iCs/>
          <w:color w:val="222222"/>
          <w:sz w:val="22"/>
          <w:szCs w:val="22"/>
        </w:rPr>
        <w:t xml:space="preserve">et al., </w:t>
      </w:r>
      <w:r w:rsidRPr="0044077B">
        <w:rPr>
          <w:rFonts w:ascii="Arial" w:hAnsi="Arial" w:cs="Arial"/>
          <w:color w:val="222222"/>
          <w:sz w:val="22"/>
          <w:szCs w:val="22"/>
        </w:rPr>
        <w:t>2016:356). According to Roberts (2011:xiii), mitigating factors are the factors which makes a sentence more or less severe. Roberts (2011:xiii) further points out that such circumstances may have a substantive effect on the severity of the sentence and may raise complex ethical and practical questions. Mitigating circumstances are therefore of paramount importance in sentence determination.</w:t>
      </w:r>
    </w:p>
    <w:p w14:paraId="66B00E8F"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color w:val="222222"/>
          <w:sz w:val="22"/>
          <w:szCs w:val="22"/>
        </w:rPr>
        <w:t>Certain applicable mitigating factors which are evident in the Glencore case are further discussed below:</w:t>
      </w:r>
    </w:p>
    <w:p w14:paraId="0B2B68E2" w14:textId="198008D1" w:rsidR="001E0A0D" w:rsidRPr="0044077B" w:rsidRDefault="001E0A0D" w:rsidP="0044077B">
      <w:pPr>
        <w:pStyle w:val="NormalWeb"/>
        <w:spacing w:before="240"/>
        <w:ind w:firstLine="720"/>
        <w:rPr>
          <w:rFonts w:ascii="Arial" w:hAnsi="Arial" w:cs="Arial"/>
          <w:sz w:val="22"/>
          <w:szCs w:val="22"/>
        </w:rPr>
      </w:pPr>
      <w:r w:rsidRPr="0044077B">
        <w:rPr>
          <w:rFonts w:ascii="Arial" w:hAnsi="Arial" w:cs="Arial"/>
          <w:b/>
          <w:bCs/>
          <w:color w:val="222222"/>
          <w:sz w:val="22"/>
          <w:szCs w:val="22"/>
        </w:rPr>
        <w:t xml:space="preserve">5.1 Termination and </w:t>
      </w:r>
      <w:r w:rsidR="00DC21DD">
        <w:rPr>
          <w:rFonts w:ascii="Arial" w:hAnsi="Arial" w:cs="Arial"/>
          <w:b/>
          <w:bCs/>
          <w:color w:val="222222"/>
          <w:sz w:val="22"/>
          <w:szCs w:val="22"/>
        </w:rPr>
        <w:t>r</w:t>
      </w:r>
      <w:r w:rsidRPr="0044077B">
        <w:rPr>
          <w:rFonts w:ascii="Arial" w:hAnsi="Arial" w:cs="Arial"/>
          <w:b/>
          <w:bCs/>
          <w:color w:val="222222"/>
          <w:sz w:val="22"/>
          <w:szCs w:val="22"/>
        </w:rPr>
        <w:t>eplacement</w:t>
      </w:r>
    </w:p>
    <w:p w14:paraId="1B634CEB"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color w:val="222222"/>
          <w:sz w:val="22"/>
          <w:szCs w:val="22"/>
        </w:rPr>
        <w:t>The Arbitrator found that the dismissal was substantively unfair, reinstated the First Respondent as from the date of dismissal and replaced the dismissal with a final written warning operative for 12 months from the date of issuing the warning. The Arbitrator also awarded the First Respondent “pay back” equivalent to 7 months remuneration.</w:t>
      </w:r>
    </w:p>
    <w:p w14:paraId="4B8A8A4B" w14:textId="61916EE8" w:rsidR="001E0A0D" w:rsidRPr="0044077B" w:rsidRDefault="001E0A0D" w:rsidP="0044077B">
      <w:pPr>
        <w:pStyle w:val="NormalWeb"/>
        <w:spacing w:before="240"/>
        <w:ind w:firstLine="720"/>
        <w:rPr>
          <w:rFonts w:ascii="Arial" w:hAnsi="Arial" w:cs="Arial"/>
          <w:sz w:val="22"/>
          <w:szCs w:val="22"/>
        </w:rPr>
      </w:pPr>
      <w:r w:rsidRPr="0044077B">
        <w:rPr>
          <w:rFonts w:ascii="Arial" w:hAnsi="Arial" w:cs="Arial"/>
          <w:b/>
          <w:bCs/>
          <w:color w:val="222222"/>
          <w:sz w:val="22"/>
          <w:szCs w:val="22"/>
        </w:rPr>
        <w:t xml:space="preserve">5.2 Gross </w:t>
      </w:r>
      <w:r w:rsidR="00DC21DD">
        <w:rPr>
          <w:rFonts w:ascii="Arial" w:hAnsi="Arial" w:cs="Arial"/>
          <w:b/>
          <w:bCs/>
          <w:color w:val="222222"/>
          <w:sz w:val="22"/>
          <w:szCs w:val="22"/>
        </w:rPr>
        <w:t>i</w:t>
      </w:r>
      <w:r w:rsidRPr="0044077B">
        <w:rPr>
          <w:rFonts w:ascii="Arial" w:hAnsi="Arial" w:cs="Arial"/>
          <w:b/>
          <w:bCs/>
          <w:color w:val="222222"/>
          <w:sz w:val="22"/>
          <w:szCs w:val="22"/>
        </w:rPr>
        <w:t>nsubordination</w:t>
      </w:r>
    </w:p>
    <w:p w14:paraId="1CE83E8F"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color w:val="222222"/>
          <w:sz w:val="22"/>
          <w:szCs w:val="22"/>
        </w:rPr>
        <w:t>The First Respondent seeks to Cross-Review the awards of the Arbitrator on the basis that the Third Respondent should not have found that the First Respondent was guilty of gross insubordination in the first place and accordingly the Arbitrator erred in issuing a final written warning.</w:t>
      </w:r>
    </w:p>
    <w:p w14:paraId="14B4A93A" w14:textId="48C693B7" w:rsidR="001E0A0D" w:rsidRPr="0044077B" w:rsidRDefault="001E0A0D" w:rsidP="0044077B">
      <w:pPr>
        <w:pStyle w:val="NormalWeb"/>
        <w:spacing w:before="240"/>
        <w:ind w:firstLine="720"/>
        <w:rPr>
          <w:rFonts w:ascii="Arial" w:hAnsi="Arial" w:cs="Arial"/>
          <w:sz w:val="22"/>
          <w:szCs w:val="22"/>
        </w:rPr>
      </w:pPr>
      <w:r w:rsidRPr="0044077B">
        <w:rPr>
          <w:rFonts w:ascii="Arial" w:hAnsi="Arial" w:cs="Arial"/>
          <w:b/>
          <w:bCs/>
          <w:color w:val="222222"/>
          <w:sz w:val="22"/>
          <w:szCs w:val="22"/>
        </w:rPr>
        <w:t xml:space="preserve">5.3 Unacceptable </w:t>
      </w:r>
      <w:r w:rsidR="00DC21DD">
        <w:rPr>
          <w:rFonts w:ascii="Arial" w:hAnsi="Arial" w:cs="Arial"/>
          <w:b/>
          <w:bCs/>
          <w:color w:val="222222"/>
          <w:sz w:val="22"/>
          <w:szCs w:val="22"/>
        </w:rPr>
        <w:t>p</w:t>
      </w:r>
      <w:r w:rsidRPr="0044077B">
        <w:rPr>
          <w:rFonts w:ascii="Arial" w:hAnsi="Arial" w:cs="Arial"/>
          <w:b/>
          <w:bCs/>
          <w:color w:val="222222"/>
          <w:sz w:val="22"/>
          <w:szCs w:val="22"/>
        </w:rPr>
        <w:t>ractice</w:t>
      </w:r>
    </w:p>
    <w:p w14:paraId="71CCCF2A"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color w:val="222222"/>
          <w:sz w:val="22"/>
          <w:szCs w:val="22"/>
        </w:rPr>
        <w:t>At the Labour Court, the Applicant was represented by Mr. D. Masher from the firm Edward Nathan Sonnenberg and the First Respondent was represented by Mr. E.S. Makinta, also from the firm Edward Nathan Sonnenberg.</w:t>
      </w:r>
    </w:p>
    <w:p w14:paraId="593467D5" w14:textId="33F6ED23" w:rsidR="001E0A0D" w:rsidRPr="0044077B" w:rsidRDefault="001E0A0D" w:rsidP="0044077B">
      <w:pPr>
        <w:pStyle w:val="NormalWeb"/>
        <w:spacing w:before="240"/>
        <w:ind w:firstLine="720"/>
        <w:rPr>
          <w:rFonts w:ascii="Arial" w:hAnsi="Arial" w:cs="Arial"/>
          <w:sz w:val="22"/>
          <w:szCs w:val="22"/>
        </w:rPr>
      </w:pPr>
      <w:r w:rsidRPr="0044077B">
        <w:rPr>
          <w:rFonts w:ascii="Arial" w:hAnsi="Arial" w:cs="Arial"/>
          <w:b/>
          <w:bCs/>
          <w:color w:val="222222"/>
          <w:sz w:val="22"/>
          <w:szCs w:val="22"/>
        </w:rPr>
        <w:t xml:space="preserve">5.4 Defective </w:t>
      </w:r>
      <w:r w:rsidR="00DC21DD">
        <w:rPr>
          <w:rFonts w:ascii="Arial" w:hAnsi="Arial" w:cs="Arial"/>
          <w:b/>
          <w:bCs/>
          <w:color w:val="222222"/>
          <w:sz w:val="22"/>
          <w:szCs w:val="22"/>
        </w:rPr>
        <w:t>r</w:t>
      </w:r>
      <w:r w:rsidRPr="0044077B">
        <w:rPr>
          <w:rFonts w:ascii="Arial" w:hAnsi="Arial" w:cs="Arial"/>
          <w:b/>
          <w:bCs/>
          <w:color w:val="222222"/>
          <w:sz w:val="22"/>
          <w:szCs w:val="22"/>
        </w:rPr>
        <w:t>ecords</w:t>
      </w:r>
    </w:p>
    <w:p w14:paraId="4A802DAC" w14:textId="3A61EB0C" w:rsidR="001E0A0D" w:rsidRDefault="001E0A0D" w:rsidP="0044077B">
      <w:pPr>
        <w:pStyle w:val="NormalWeb"/>
        <w:spacing w:before="240"/>
        <w:rPr>
          <w:rFonts w:ascii="Arial" w:hAnsi="Arial" w:cs="Arial"/>
          <w:color w:val="222222"/>
          <w:sz w:val="22"/>
          <w:szCs w:val="22"/>
        </w:rPr>
      </w:pPr>
      <w:r w:rsidRPr="0044077B">
        <w:rPr>
          <w:rFonts w:ascii="Arial" w:hAnsi="Arial" w:cs="Arial"/>
          <w:color w:val="222222"/>
          <w:sz w:val="22"/>
          <w:szCs w:val="22"/>
        </w:rPr>
        <w:t>During the arbitration process at CCMA the recording system did not work properly and the evidence had to be recorded manually. In this case, both parties should have maintained written notes of the evidence given during the arbitration. It is necessary to record that where the parties are advised that the recording system is not operational, this should encourage them to either use their own recording devices or to properly transcribe the proceedings in longhand.</w:t>
      </w:r>
    </w:p>
    <w:p w14:paraId="598304AC" w14:textId="77777777" w:rsidR="0044077B" w:rsidRPr="0044077B" w:rsidRDefault="0044077B" w:rsidP="0044077B">
      <w:pPr>
        <w:pStyle w:val="NormalWeb"/>
        <w:spacing w:before="240"/>
        <w:rPr>
          <w:rFonts w:ascii="Arial" w:hAnsi="Arial" w:cs="Arial"/>
          <w:sz w:val="22"/>
          <w:szCs w:val="22"/>
        </w:rPr>
      </w:pPr>
    </w:p>
    <w:p w14:paraId="3264EA6A" w14:textId="77777777" w:rsidR="001E0A0D" w:rsidRPr="0044077B" w:rsidRDefault="001E0A0D" w:rsidP="0044077B">
      <w:pPr>
        <w:pStyle w:val="NormalWeb"/>
        <w:spacing w:before="240"/>
        <w:ind w:firstLine="720"/>
        <w:rPr>
          <w:rFonts w:ascii="Arial" w:hAnsi="Arial" w:cs="Arial"/>
          <w:sz w:val="22"/>
          <w:szCs w:val="22"/>
        </w:rPr>
      </w:pPr>
      <w:r w:rsidRPr="0044077B">
        <w:rPr>
          <w:rFonts w:ascii="Arial" w:hAnsi="Arial" w:cs="Arial"/>
          <w:b/>
          <w:bCs/>
          <w:color w:val="222222"/>
          <w:sz w:val="22"/>
          <w:szCs w:val="22"/>
        </w:rPr>
        <w:lastRenderedPageBreak/>
        <w:t>5.5 Test of materiality of evidence not properly dealt with</w:t>
      </w:r>
    </w:p>
    <w:p w14:paraId="6481B08F" w14:textId="6F2A5F74" w:rsidR="001E0A0D" w:rsidRPr="0044077B" w:rsidRDefault="001E0A0D" w:rsidP="0044077B">
      <w:pPr>
        <w:pStyle w:val="NormalWeb"/>
        <w:spacing w:before="240"/>
        <w:rPr>
          <w:rFonts w:ascii="Arial" w:hAnsi="Arial" w:cs="Arial"/>
          <w:sz w:val="22"/>
          <w:szCs w:val="22"/>
        </w:rPr>
      </w:pPr>
      <w:r w:rsidRPr="0044077B">
        <w:rPr>
          <w:rFonts w:ascii="Arial" w:hAnsi="Arial" w:cs="Arial"/>
          <w:color w:val="222222"/>
          <w:sz w:val="22"/>
          <w:szCs w:val="22"/>
        </w:rPr>
        <w:t xml:space="preserve">Glencore’s legal representative </w:t>
      </w:r>
      <w:r w:rsidR="00DC21DD">
        <w:rPr>
          <w:rFonts w:ascii="Arial" w:hAnsi="Arial" w:cs="Arial"/>
          <w:color w:val="222222"/>
          <w:sz w:val="22"/>
          <w:szCs w:val="22"/>
        </w:rPr>
        <w:t>admitted</w:t>
      </w:r>
      <w:r w:rsidRPr="0044077B">
        <w:rPr>
          <w:rFonts w:ascii="Arial" w:hAnsi="Arial" w:cs="Arial"/>
          <w:color w:val="222222"/>
          <w:sz w:val="22"/>
          <w:szCs w:val="22"/>
        </w:rPr>
        <w:t xml:space="preserve"> that there was no importance in transcribing their witness’ evidence because they had submitted the part which was relevant. This was of material importance because in order to test materiality, they needed to go through the evidence fully to determine its relevance. Neither of the legal representatives were available at the arbitration and therefore they could not transcribe or reconstruct the evidence to test its materiality.</w:t>
      </w:r>
    </w:p>
    <w:p w14:paraId="5E5F45CC" w14:textId="77777777" w:rsidR="001E0A0D" w:rsidRPr="0044077B" w:rsidRDefault="001E0A0D" w:rsidP="0044077B">
      <w:pPr>
        <w:pStyle w:val="NormalWeb"/>
        <w:spacing w:before="240"/>
        <w:ind w:left="720"/>
        <w:rPr>
          <w:rFonts w:ascii="Arial" w:hAnsi="Arial" w:cs="Arial"/>
          <w:sz w:val="22"/>
          <w:szCs w:val="22"/>
        </w:rPr>
      </w:pPr>
      <w:r w:rsidRPr="0044077B">
        <w:rPr>
          <w:rFonts w:ascii="Arial" w:hAnsi="Arial" w:cs="Arial"/>
          <w:b/>
          <w:bCs/>
          <w:color w:val="222222"/>
          <w:sz w:val="22"/>
          <w:szCs w:val="22"/>
        </w:rPr>
        <w:t>5.6 Evidence in chief of the only witness of the applicant was neither transcribed nor reconstructed</w:t>
      </w:r>
    </w:p>
    <w:p w14:paraId="080599E0" w14:textId="7DCFE463" w:rsidR="001E0A0D" w:rsidRPr="0044077B" w:rsidRDefault="001E0A0D" w:rsidP="0044077B">
      <w:pPr>
        <w:pStyle w:val="NormalWeb"/>
        <w:spacing w:before="240"/>
        <w:rPr>
          <w:rFonts w:ascii="Arial" w:hAnsi="Arial" w:cs="Arial"/>
          <w:sz w:val="22"/>
          <w:szCs w:val="22"/>
        </w:rPr>
      </w:pPr>
      <w:r w:rsidRPr="0044077B">
        <w:rPr>
          <w:rFonts w:ascii="Arial" w:hAnsi="Arial" w:cs="Arial"/>
          <w:color w:val="222222"/>
          <w:sz w:val="22"/>
          <w:szCs w:val="22"/>
        </w:rPr>
        <w:t xml:space="preserve">When the parties fail to prepare a proper record, it has the effect of a potential compromise of the Labour Court and this may lead to </w:t>
      </w:r>
      <w:r w:rsidR="00DC21DD">
        <w:rPr>
          <w:rFonts w:ascii="Arial" w:hAnsi="Arial" w:cs="Arial"/>
          <w:color w:val="222222"/>
          <w:sz w:val="22"/>
          <w:szCs w:val="22"/>
        </w:rPr>
        <w:t xml:space="preserve">the </w:t>
      </w:r>
      <w:r w:rsidRPr="0044077B">
        <w:rPr>
          <w:rFonts w:ascii="Arial" w:hAnsi="Arial" w:cs="Arial"/>
          <w:color w:val="222222"/>
          <w:sz w:val="22"/>
          <w:szCs w:val="22"/>
        </w:rPr>
        <w:t>miscarriage of justice. In this regard, where the evidence relied on is from only one witness, questions were raised regarding the integrity of the witness, whether he testified on satisfactory grounds, and whether he convincingly dealt with the issues. All these become aggravating circumstances in the judgement of the Labour Court on the Glencore case.</w:t>
      </w:r>
    </w:p>
    <w:p w14:paraId="59ECD607"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color w:val="222222"/>
          <w:sz w:val="22"/>
          <w:szCs w:val="22"/>
        </w:rPr>
        <w:t>No meeting was arranged with the First Respondent’s representative to share notes, even with the Arbitrator. At the time, both parties did not have legal representatives and the recording was overlooked with more focus being put only on the affidavits and heads of arguments. The reviewer only focused on the affidavits and heads of argument and ignored the reconstruction of the recording which was the chief witness on what transpired in arbitration. This added to the mitigating/extenuating circumstances in the Glencore case before the Labour Court.</w:t>
      </w:r>
    </w:p>
    <w:p w14:paraId="6DDBB876" w14:textId="77777777" w:rsidR="001E0A0D" w:rsidRPr="0044077B" w:rsidRDefault="001E0A0D" w:rsidP="0044077B">
      <w:pPr>
        <w:pStyle w:val="NormalWeb"/>
        <w:spacing w:before="240"/>
        <w:ind w:firstLine="720"/>
        <w:rPr>
          <w:rFonts w:ascii="Arial" w:hAnsi="Arial" w:cs="Arial"/>
          <w:sz w:val="22"/>
          <w:szCs w:val="22"/>
        </w:rPr>
      </w:pPr>
      <w:r w:rsidRPr="0044077B">
        <w:rPr>
          <w:rFonts w:ascii="Arial" w:hAnsi="Arial" w:cs="Arial"/>
          <w:b/>
          <w:bCs/>
          <w:color w:val="222222"/>
          <w:sz w:val="22"/>
          <w:szCs w:val="22"/>
        </w:rPr>
        <w:t>5.7 Interest of fairness</w:t>
      </w:r>
    </w:p>
    <w:p w14:paraId="2140729E"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color w:val="222222"/>
          <w:sz w:val="22"/>
          <w:szCs w:val="22"/>
        </w:rPr>
        <w:t>Even though there were sufficient common cause facts that could be used to reach a decision, it was also noted that not enough opportunity was given to peruse the evidence in chief of the only witness of the Applicant. This also combined with the time it took from when the First Respondent was dismissed on 7 February 2014 and his case was only heard in the Labour Court in July 2016. </w:t>
      </w:r>
    </w:p>
    <w:p w14:paraId="4079D2AB" w14:textId="77777777" w:rsidR="001E0A0D" w:rsidRPr="0044077B" w:rsidRDefault="001E0A0D" w:rsidP="0044077B">
      <w:pPr>
        <w:pStyle w:val="NormalWeb"/>
        <w:spacing w:before="240"/>
        <w:ind w:left="720"/>
        <w:rPr>
          <w:rFonts w:ascii="Arial" w:hAnsi="Arial" w:cs="Arial"/>
          <w:sz w:val="22"/>
          <w:szCs w:val="22"/>
        </w:rPr>
      </w:pPr>
      <w:r w:rsidRPr="0044077B">
        <w:rPr>
          <w:rFonts w:ascii="Arial" w:hAnsi="Arial" w:cs="Arial"/>
          <w:b/>
          <w:bCs/>
          <w:color w:val="222222"/>
          <w:sz w:val="22"/>
          <w:szCs w:val="22"/>
        </w:rPr>
        <w:t>5.8 Appropriateness of the Commissioner’s decisions during the arbitration process</w:t>
      </w:r>
    </w:p>
    <w:p w14:paraId="1C93B799" w14:textId="77777777" w:rsidR="001E0A0D" w:rsidRPr="0044077B" w:rsidRDefault="001E0A0D" w:rsidP="0044077B">
      <w:pPr>
        <w:pStyle w:val="NormalWeb"/>
        <w:spacing w:before="240"/>
        <w:rPr>
          <w:rFonts w:ascii="Arial" w:hAnsi="Arial" w:cs="Arial"/>
          <w:sz w:val="22"/>
          <w:szCs w:val="22"/>
        </w:rPr>
      </w:pPr>
      <w:r w:rsidRPr="0044077B">
        <w:rPr>
          <w:rFonts w:ascii="Arial" w:hAnsi="Arial" w:cs="Arial"/>
          <w:color w:val="222222"/>
          <w:sz w:val="22"/>
          <w:szCs w:val="22"/>
        </w:rPr>
        <w:t>The appropriateness of the Arbitrator to reinstate the First Respondent despite his deliberate refusal to obey instructions brought about questions on whether the Commissioner’s decision was reasonable. The reasonability of also granting compensation when an employee had a material breach of conditions of employment in the form of insubordination was another circumstance considered by the Labour Court.</w:t>
      </w:r>
    </w:p>
    <w:p w14:paraId="4CADC710" w14:textId="77777777" w:rsidR="001E0A0D" w:rsidRPr="0044077B" w:rsidRDefault="001E0A0D" w:rsidP="0044077B">
      <w:pPr>
        <w:pStyle w:val="NormalWeb"/>
        <w:numPr>
          <w:ilvl w:val="0"/>
          <w:numId w:val="39"/>
        </w:numPr>
        <w:spacing w:before="240" w:after="0"/>
        <w:textAlignment w:val="baseline"/>
        <w:rPr>
          <w:rFonts w:ascii="Arial" w:hAnsi="Arial" w:cs="Arial"/>
          <w:b/>
          <w:bCs/>
          <w:color w:val="222222"/>
          <w:sz w:val="22"/>
          <w:szCs w:val="22"/>
        </w:rPr>
      </w:pPr>
      <w:r w:rsidRPr="0044077B">
        <w:rPr>
          <w:rFonts w:ascii="Arial" w:hAnsi="Arial" w:cs="Arial"/>
          <w:b/>
          <w:bCs/>
          <w:color w:val="222222"/>
          <w:sz w:val="22"/>
          <w:szCs w:val="22"/>
        </w:rPr>
        <w:lastRenderedPageBreak/>
        <w:t>Conclusion</w:t>
      </w:r>
    </w:p>
    <w:p w14:paraId="41BA8DF3" w14:textId="44DD2EC0" w:rsidR="001E0A0D" w:rsidRPr="0044077B" w:rsidRDefault="001E0A0D" w:rsidP="0044077B">
      <w:pPr>
        <w:pStyle w:val="NormalWeb"/>
        <w:spacing w:before="240" w:after="0"/>
        <w:rPr>
          <w:rFonts w:ascii="Arial" w:hAnsi="Arial" w:cs="Arial"/>
          <w:sz w:val="22"/>
          <w:szCs w:val="22"/>
        </w:rPr>
      </w:pPr>
      <w:r w:rsidRPr="0044077B">
        <w:rPr>
          <w:rFonts w:ascii="Arial" w:hAnsi="Arial" w:cs="Arial"/>
          <w:color w:val="222222"/>
          <w:sz w:val="22"/>
          <w:szCs w:val="22"/>
        </w:rPr>
        <w:t>The Glencore case provides an insight into conflict within a workplace environment and supports the fact that conflict in employment relations is unavoidable. Employment relations are human relations in a particular context. In this particular case, the conflict between the Applicant (employer) and the First Respondent (employee) was evident and eventually led to the legal battle. As with any conflict, some can be destructive but some can yield positive effects, and that is what is evident in this case with the order from the Labour Court (</w:t>
      </w:r>
      <w:r w:rsidRPr="0044077B">
        <w:rPr>
          <w:rFonts w:ascii="Arial" w:hAnsi="Arial" w:cs="Arial"/>
          <w:i/>
          <w:iCs/>
          <w:color w:val="222222"/>
          <w:sz w:val="22"/>
          <w:szCs w:val="22"/>
        </w:rPr>
        <w:t>Glencore</w:t>
      </w:r>
      <w:r w:rsidRPr="0044077B">
        <w:rPr>
          <w:rFonts w:ascii="Arial" w:hAnsi="Arial" w:cs="Arial"/>
          <w:color w:val="222222"/>
          <w:sz w:val="22"/>
          <w:szCs w:val="22"/>
        </w:rPr>
        <w:t>, 2016). The conflict of the Glencore case provided beneficial effects, in that it brought about clarity and altered the boundaries of acceptable behaviour between the employer and the employees.</w:t>
      </w:r>
    </w:p>
    <w:p w14:paraId="2CE474A7" w14:textId="07BEFC2E" w:rsidR="001E0A0D" w:rsidRPr="0044077B" w:rsidRDefault="001E0A0D" w:rsidP="0044077B">
      <w:pPr>
        <w:pStyle w:val="NormalWeb"/>
        <w:spacing w:before="240" w:after="0"/>
        <w:rPr>
          <w:rFonts w:ascii="Arial" w:hAnsi="Arial" w:cs="Arial"/>
          <w:sz w:val="22"/>
          <w:szCs w:val="22"/>
        </w:rPr>
      </w:pPr>
      <w:r w:rsidRPr="0044077B">
        <w:rPr>
          <w:rFonts w:ascii="Arial" w:hAnsi="Arial" w:cs="Arial"/>
          <w:color w:val="222222"/>
          <w:sz w:val="22"/>
          <w:szCs w:val="22"/>
        </w:rPr>
        <w:t xml:space="preserve">The disciplinary procedure by the Applicant was never subjected to doubt. The First Respondent, or employee, continuously failed to </w:t>
      </w:r>
      <w:r w:rsidR="0044077B" w:rsidRPr="0044077B">
        <w:rPr>
          <w:rFonts w:ascii="Arial" w:hAnsi="Arial" w:cs="Arial"/>
          <w:color w:val="222222"/>
          <w:sz w:val="22"/>
          <w:szCs w:val="22"/>
        </w:rPr>
        <w:t>fulfil</w:t>
      </w:r>
      <w:r w:rsidRPr="0044077B">
        <w:rPr>
          <w:rFonts w:ascii="Arial" w:hAnsi="Arial" w:cs="Arial"/>
          <w:color w:val="222222"/>
          <w:sz w:val="22"/>
          <w:szCs w:val="22"/>
        </w:rPr>
        <w:t xml:space="preserve"> his duties even after numerous warnings from the applicant. According to </w:t>
      </w:r>
      <w:r w:rsidRPr="0044077B">
        <w:rPr>
          <w:rFonts w:ascii="Arial" w:hAnsi="Arial" w:cs="Arial"/>
          <w:i/>
          <w:iCs/>
          <w:color w:val="222222"/>
          <w:sz w:val="22"/>
          <w:szCs w:val="22"/>
        </w:rPr>
        <w:t>Glencore</w:t>
      </w:r>
      <w:r w:rsidRPr="0044077B">
        <w:rPr>
          <w:rFonts w:ascii="Arial" w:hAnsi="Arial" w:cs="Arial"/>
          <w:color w:val="222222"/>
          <w:sz w:val="22"/>
          <w:szCs w:val="22"/>
        </w:rPr>
        <w:t xml:space="preserve"> (2016), the following orders were made: </w:t>
      </w:r>
      <w:proofErr w:type="gramStart"/>
      <w:r w:rsidRPr="0044077B">
        <w:rPr>
          <w:rFonts w:ascii="Arial" w:hAnsi="Arial" w:cs="Arial"/>
          <w:color w:val="222222"/>
          <w:sz w:val="22"/>
          <w:szCs w:val="22"/>
        </w:rPr>
        <w:t>the</w:t>
      </w:r>
      <w:proofErr w:type="gramEnd"/>
      <w:r w:rsidRPr="0044077B">
        <w:rPr>
          <w:rFonts w:ascii="Arial" w:hAnsi="Arial" w:cs="Arial"/>
          <w:color w:val="222222"/>
          <w:sz w:val="22"/>
          <w:szCs w:val="22"/>
        </w:rPr>
        <w:t xml:space="preserve"> Review Application was granted and the previous Arbitrator’s order was not awarded by the dismissal of the First Respondent; no compensation was granted for the First Respondent; the Cross-Review was dismissed; and the order for costs in the Cross-Review was denied. In the context provided in the above-mentioned report, it is clear that there was not any merit in the Cross-Review. </w:t>
      </w:r>
    </w:p>
    <w:p w14:paraId="535BE82F" w14:textId="76DDD4BF" w:rsidR="001E0A0D" w:rsidRDefault="001E0A0D" w:rsidP="0044077B">
      <w:pPr>
        <w:pStyle w:val="NormalWeb"/>
        <w:spacing w:before="240" w:after="0"/>
        <w:rPr>
          <w:rFonts w:ascii="Arial" w:hAnsi="Arial" w:cs="Arial"/>
          <w:color w:val="222222"/>
          <w:sz w:val="22"/>
          <w:szCs w:val="22"/>
        </w:rPr>
      </w:pPr>
      <w:r w:rsidRPr="0044077B">
        <w:rPr>
          <w:rFonts w:ascii="Arial" w:hAnsi="Arial" w:cs="Arial"/>
          <w:color w:val="222222"/>
          <w:sz w:val="22"/>
          <w:szCs w:val="22"/>
        </w:rPr>
        <w:t>The unavailability of critical historic records has forfeited the transparency of the proceedings which prevailed during the arbitration. This then created an incomplete and questionable practice and further tempered with the trust of the arbitration process. While the Commissioner became consumed with the collective agreement and based his findings on that basis instead of focusing on the core of the case, it became questionable whether the Commission lived up to its function in handling this dispute. One of the Commission’s main functions is conciliation and arbitration of unresolved disputes between an employer and employee(s), and in this case it did not fulfill its duty.</w:t>
      </w:r>
    </w:p>
    <w:p w14:paraId="451050D9" w14:textId="4ADBC10C" w:rsidR="00B50889" w:rsidRPr="00B50889" w:rsidRDefault="00B50889" w:rsidP="0044077B">
      <w:pPr>
        <w:pStyle w:val="NormalWeb"/>
        <w:spacing w:before="240" w:after="0"/>
        <w:rPr>
          <w:rFonts w:ascii="Arial" w:hAnsi="Arial" w:cs="Arial"/>
          <w:sz w:val="22"/>
          <w:szCs w:val="22"/>
        </w:rPr>
      </w:pPr>
      <w:r>
        <w:rPr>
          <w:rFonts w:ascii="Arial" w:hAnsi="Arial" w:cs="Arial"/>
          <w:sz w:val="22"/>
          <w:szCs w:val="22"/>
        </w:rPr>
        <w:t xml:space="preserve">According to Nel </w:t>
      </w:r>
      <w:r>
        <w:rPr>
          <w:rFonts w:ascii="Arial" w:hAnsi="Arial" w:cs="Arial"/>
          <w:i/>
          <w:iCs/>
          <w:sz w:val="22"/>
          <w:szCs w:val="22"/>
        </w:rPr>
        <w:t xml:space="preserve">et al. </w:t>
      </w:r>
      <w:r>
        <w:rPr>
          <w:rFonts w:ascii="Arial" w:hAnsi="Arial" w:cs="Arial"/>
          <w:sz w:val="22"/>
          <w:szCs w:val="22"/>
        </w:rPr>
        <w:t>(2020:206), the Labour Court has the power to make any appropriate order, such as a decla</w:t>
      </w:r>
      <w:r w:rsidR="00C21000">
        <w:rPr>
          <w:rFonts w:ascii="Arial" w:hAnsi="Arial" w:cs="Arial"/>
          <w:sz w:val="22"/>
          <w:szCs w:val="22"/>
        </w:rPr>
        <w:t>ratory order, and also the power to order compliance with any provision of the LRA</w:t>
      </w:r>
      <w:r w:rsidR="005C4D8C">
        <w:rPr>
          <w:rFonts w:ascii="Arial" w:hAnsi="Arial" w:cs="Arial"/>
          <w:sz w:val="22"/>
          <w:szCs w:val="22"/>
        </w:rPr>
        <w:t xml:space="preserve"> (Labour Relations Act 66 of 1995)</w:t>
      </w:r>
      <w:r w:rsidR="00C21000">
        <w:rPr>
          <w:rFonts w:ascii="Arial" w:hAnsi="Arial" w:cs="Arial"/>
          <w:sz w:val="22"/>
          <w:szCs w:val="22"/>
        </w:rPr>
        <w:t xml:space="preserve"> or any employment law. With reference to the order made by the Labour Court in the Glencore case, the Labour Court acted within its mandate and it is unquestionable that the Applicant did institute a fair disciplinary process against the First Respondent.</w:t>
      </w:r>
    </w:p>
    <w:p w14:paraId="4CEFC90D" w14:textId="77777777" w:rsidR="00AA5CBE" w:rsidRDefault="001E0A0D" w:rsidP="0044077B">
      <w:r w:rsidRPr="0044077B">
        <w:rPr>
          <w:rFonts w:ascii="Arial" w:hAnsi="Arial" w:cs="Arial"/>
          <w:sz w:val="22"/>
          <w:szCs w:val="22"/>
        </w:rPr>
        <w:br/>
      </w:r>
      <w:r w:rsidRPr="0044077B">
        <w:rPr>
          <w:rFonts w:ascii="Arial" w:hAnsi="Arial" w:cs="Arial"/>
          <w:sz w:val="22"/>
          <w:szCs w:val="22"/>
        </w:rPr>
        <w:br/>
      </w:r>
    </w:p>
    <w:p w14:paraId="0AEE6D34" w14:textId="77777777" w:rsidR="00001432" w:rsidRDefault="00001432" w:rsidP="0044077B">
      <w:pPr>
        <w:rPr>
          <w:rFonts w:ascii="Arial" w:hAnsi="Arial" w:cs="Arial"/>
          <w:b/>
          <w:bCs/>
          <w:color w:val="222222"/>
          <w:szCs w:val="24"/>
        </w:rPr>
      </w:pPr>
    </w:p>
    <w:p w14:paraId="4AF6757E" w14:textId="604324FA" w:rsidR="001E0A0D" w:rsidRDefault="001E0A0D" w:rsidP="0044077B">
      <w:r w:rsidRPr="0044077B">
        <w:rPr>
          <w:rFonts w:ascii="Arial" w:hAnsi="Arial" w:cs="Arial"/>
          <w:b/>
          <w:bCs/>
          <w:color w:val="222222"/>
          <w:szCs w:val="24"/>
        </w:rPr>
        <w:lastRenderedPageBreak/>
        <w:t>Reference list</w:t>
      </w:r>
    </w:p>
    <w:p w14:paraId="6C064959" w14:textId="77777777" w:rsidR="001E0A0D" w:rsidRPr="00B50889" w:rsidRDefault="001E0A0D" w:rsidP="00B50889">
      <w:pPr>
        <w:pStyle w:val="NormalWeb"/>
        <w:spacing w:before="240"/>
        <w:jc w:val="left"/>
      </w:pPr>
      <w:r w:rsidRPr="00B50889">
        <w:rPr>
          <w:rFonts w:ascii="Arial" w:hAnsi="Arial" w:cs="Arial"/>
          <w:i/>
          <w:iCs/>
          <w:sz w:val="22"/>
          <w:szCs w:val="22"/>
        </w:rPr>
        <w:t xml:space="preserve">Glencore Operations South Africa (PTY) LTD (Lion Ferrochrome) v Simon Mohubedu Rantho </w:t>
      </w:r>
      <w:r w:rsidRPr="00B50889">
        <w:rPr>
          <w:rFonts w:ascii="Arial" w:hAnsi="Arial" w:cs="Arial"/>
          <w:sz w:val="22"/>
          <w:szCs w:val="22"/>
        </w:rPr>
        <w:t>2016 South African Labour Court 1 (JHB).</w:t>
      </w:r>
    </w:p>
    <w:p w14:paraId="33F31B6A" w14:textId="77777777" w:rsidR="0044077B" w:rsidRPr="00B50889" w:rsidRDefault="001E0A0D" w:rsidP="00B50889">
      <w:pPr>
        <w:pStyle w:val="NormalWeb"/>
        <w:jc w:val="left"/>
        <w:rPr>
          <w:rFonts w:ascii="Arial" w:hAnsi="Arial" w:cs="Arial"/>
          <w:sz w:val="22"/>
          <w:szCs w:val="22"/>
        </w:rPr>
      </w:pPr>
      <w:r w:rsidRPr="00B50889">
        <w:rPr>
          <w:rFonts w:ascii="Arial" w:hAnsi="Arial" w:cs="Arial"/>
          <w:sz w:val="22"/>
          <w:szCs w:val="22"/>
        </w:rPr>
        <w:t xml:space="preserve">Nel, P.S., Kirsten, M., Erasmus, B.J., Gobind, J., Holtzhausen, M. &amp; Jordaan, B. 2020. </w:t>
      </w:r>
      <w:r w:rsidRPr="00B50889">
        <w:rPr>
          <w:rFonts w:ascii="Arial" w:hAnsi="Arial" w:cs="Arial"/>
          <w:i/>
          <w:iCs/>
          <w:sz w:val="22"/>
          <w:szCs w:val="22"/>
        </w:rPr>
        <w:t>South African employment relations: theory and practice.</w:t>
      </w:r>
      <w:r w:rsidRPr="00B50889">
        <w:rPr>
          <w:rFonts w:ascii="Arial" w:hAnsi="Arial" w:cs="Arial"/>
          <w:sz w:val="22"/>
          <w:szCs w:val="22"/>
        </w:rPr>
        <w:t xml:space="preserve"> 9th ed. Pretoria: Van Schaik Publishers</w:t>
      </w:r>
      <w:r w:rsidR="0044077B" w:rsidRPr="00B50889">
        <w:rPr>
          <w:rFonts w:ascii="Arial" w:hAnsi="Arial" w:cs="Arial"/>
          <w:sz w:val="22"/>
          <w:szCs w:val="22"/>
        </w:rPr>
        <w:t xml:space="preserve">. </w:t>
      </w:r>
    </w:p>
    <w:p w14:paraId="5231D0CA" w14:textId="5781AB1D" w:rsidR="005F3ADE" w:rsidRDefault="001E0A0D" w:rsidP="00B50889">
      <w:pPr>
        <w:pStyle w:val="NormalWeb"/>
        <w:jc w:val="left"/>
      </w:pPr>
      <w:r w:rsidRPr="00B50889">
        <w:rPr>
          <w:rFonts w:ascii="Arial" w:hAnsi="Arial" w:cs="Arial"/>
          <w:sz w:val="22"/>
          <w:szCs w:val="22"/>
        </w:rPr>
        <w:t xml:space="preserve">Roberts, J.V. 2011. </w:t>
      </w:r>
      <w:r w:rsidRPr="00B50889">
        <w:rPr>
          <w:rFonts w:ascii="Arial" w:hAnsi="Arial" w:cs="Arial"/>
          <w:i/>
          <w:iCs/>
          <w:sz w:val="22"/>
          <w:szCs w:val="22"/>
        </w:rPr>
        <w:t>Mitigation and Aggravation at Sentencing.</w:t>
      </w:r>
      <w:r w:rsidRPr="00B50889">
        <w:rPr>
          <w:rFonts w:ascii="Arial" w:hAnsi="Arial" w:cs="Arial"/>
          <w:sz w:val="22"/>
          <w:szCs w:val="22"/>
        </w:rPr>
        <w:t xml:space="preserve"> Cambridge: Cambridge University Press.</w:t>
      </w:r>
    </w:p>
    <w:sectPr w:rsidR="005F3ADE">
      <w:footerReference w:type="default" r:id="rId9"/>
      <w:pgSz w:w="11907" w:h="16840" w:code="9"/>
      <w:pgMar w:top="1134" w:right="1134" w:bottom="1418" w:left="1418"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6A3AA" w14:textId="77777777" w:rsidR="00AC2781" w:rsidRDefault="00AC2781">
      <w:pPr>
        <w:spacing w:after="0"/>
      </w:pPr>
      <w:r>
        <w:separator/>
      </w:r>
    </w:p>
  </w:endnote>
  <w:endnote w:type="continuationSeparator" w:id="0">
    <w:p w14:paraId="1DF340BE" w14:textId="77777777" w:rsidR="00AC2781" w:rsidRDefault="00AC27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D666" w14:textId="77777777" w:rsidR="005F3ADE" w:rsidRDefault="008D5D1C">
    <w:pPr>
      <w:pStyle w:val="Footer"/>
    </w:pPr>
    <w:r>
      <w:rPr>
        <w:rStyle w:val="PageNumber"/>
      </w:rPr>
      <w:fldChar w:fldCharType="begin"/>
    </w:r>
    <w:r>
      <w:rPr>
        <w:rStyle w:val="PageNumber"/>
      </w:rPr>
      <w:instrText xml:space="preserve"> PAGE </w:instrText>
    </w:r>
    <w:r>
      <w:rPr>
        <w:rStyle w:val="PageNumber"/>
      </w:rPr>
      <w:fldChar w:fldCharType="separate"/>
    </w:r>
    <w:r w:rsidR="003B0F49">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6BF13" w14:textId="77777777" w:rsidR="00AC2781" w:rsidRDefault="00AC2781">
      <w:pPr>
        <w:spacing w:after="0"/>
      </w:pPr>
      <w:r>
        <w:separator/>
      </w:r>
    </w:p>
  </w:footnote>
  <w:footnote w:type="continuationSeparator" w:id="0">
    <w:p w14:paraId="3EA8E474" w14:textId="77777777" w:rsidR="00AC2781" w:rsidRDefault="00AC278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0B03DA8"/>
    <w:lvl w:ilvl="0">
      <w:start w:val="1"/>
      <w:numFmt w:val="decimal"/>
      <w:pStyle w:val="ListNumber5"/>
      <w:lvlText w:val="%1."/>
      <w:lvlJc w:val="left"/>
      <w:pPr>
        <w:tabs>
          <w:tab w:val="num" w:pos="2835"/>
        </w:tabs>
        <w:ind w:left="2835" w:hanging="567"/>
      </w:pPr>
      <w:rPr>
        <w:rFonts w:hint="default"/>
      </w:rPr>
    </w:lvl>
  </w:abstractNum>
  <w:abstractNum w:abstractNumId="1" w15:restartNumberingAfterBreak="0">
    <w:nsid w:val="FFFFFF7D"/>
    <w:multiLevelType w:val="singleLevel"/>
    <w:tmpl w:val="21B20BBC"/>
    <w:lvl w:ilvl="0">
      <w:start w:val="1"/>
      <w:numFmt w:val="decimal"/>
      <w:pStyle w:val="ListNumber4"/>
      <w:lvlText w:val="%1."/>
      <w:lvlJc w:val="left"/>
      <w:pPr>
        <w:tabs>
          <w:tab w:val="num" w:pos="2268"/>
        </w:tabs>
        <w:ind w:left="2268" w:hanging="567"/>
      </w:pPr>
      <w:rPr>
        <w:rFonts w:hint="default"/>
      </w:rPr>
    </w:lvl>
  </w:abstractNum>
  <w:abstractNum w:abstractNumId="2" w15:restartNumberingAfterBreak="0">
    <w:nsid w:val="FFFFFF7E"/>
    <w:multiLevelType w:val="singleLevel"/>
    <w:tmpl w:val="C910199E"/>
    <w:lvl w:ilvl="0">
      <w:start w:val="1"/>
      <w:numFmt w:val="decimal"/>
      <w:pStyle w:val="ListNumber3"/>
      <w:lvlText w:val="%1."/>
      <w:lvlJc w:val="left"/>
      <w:pPr>
        <w:tabs>
          <w:tab w:val="num" w:pos="1701"/>
        </w:tabs>
        <w:ind w:left="1701" w:hanging="567"/>
      </w:pPr>
      <w:rPr>
        <w:rFonts w:hint="default"/>
      </w:rPr>
    </w:lvl>
  </w:abstractNum>
  <w:abstractNum w:abstractNumId="3" w15:restartNumberingAfterBreak="0">
    <w:nsid w:val="FFFFFF7F"/>
    <w:multiLevelType w:val="singleLevel"/>
    <w:tmpl w:val="112E83D4"/>
    <w:lvl w:ilvl="0">
      <w:start w:val="1"/>
      <w:numFmt w:val="decimal"/>
      <w:pStyle w:val="ListNumber2"/>
      <w:lvlText w:val="%1."/>
      <w:lvlJc w:val="left"/>
      <w:pPr>
        <w:tabs>
          <w:tab w:val="num" w:pos="1134"/>
        </w:tabs>
        <w:ind w:left="1134" w:hanging="567"/>
      </w:pPr>
      <w:rPr>
        <w:rFonts w:hint="default"/>
      </w:rPr>
    </w:lvl>
  </w:abstractNum>
  <w:abstractNum w:abstractNumId="4" w15:restartNumberingAfterBreak="0">
    <w:nsid w:val="FFFFFF80"/>
    <w:multiLevelType w:val="singleLevel"/>
    <w:tmpl w:val="7A3A8C3E"/>
    <w:lvl w:ilvl="0">
      <w:start w:val="1"/>
      <w:numFmt w:val="bullet"/>
      <w:pStyle w:val="ListBullet5"/>
      <w:lvlText w:val=""/>
      <w:lvlJc w:val="left"/>
      <w:pPr>
        <w:tabs>
          <w:tab w:val="num" w:pos="1786"/>
        </w:tabs>
        <w:ind w:left="1786" w:hanging="357"/>
      </w:pPr>
      <w:rPr>
        <w:rFonts w:ascii="Symbol" w:hAnsi="Symbol" w:hint="default"/>
      </w:rPr>
    </w:lvl>
  </w:abstractNum>
  <w:abstractNum w:abstractNumId="5" w15:restartNumberingAfterBreak="0">
    <w:nsid w:val="FFFFFF81"/>
    <w:multiLevelType w:val="singleLevel"/>
    <w:tmpl w:val="2514CEAE"/>
    <w:lvl w:ilvl="0">
      <w:start w:val="1"/>
      <w:numFmt w:val="bullet"/>
      <w:pStyle w:val="ListBullet4"/>
      <w:lvlText w:val=""/>
      <w:lvlJc w:val="left"/>
      <w:pPr>
        <w:tabs>
          <w:tab w:val="num" w:pos="1429"/>
        </w:tabs>
        <w:ind w:left="1429" w:hanging="357"/>
      </w:pPr>
      <w:rPr>
        <w:rFonts w:ascii="Symbol" w:hAnsi="Symbol" w:hint="default"/>
      </w:rPr>
    </w:lvl>
  </w:abstractNum>
  <w:abstractNum w:abstractNumId="6" w15:restartNumberingAfterBreak="0">
    <w:nsid w:val="FFFFFF82"/>
    <w:multiLevelType w:val="singleLevel"/>
    <w:tmpl w:val="3A261A22"/>
    <w:lvl w:ilvl="0">
      <w:start w:val="1"/>
      <w:numFmt w:val="bullet"/>
      <w:pStyle w:val="ListBullet3"/>
      <w:lvlText w:val=""/>
      <w:lvlJc w:val="left"/>
      <w:pPr>
        <w:tabs>
          <w:tab w:val="num" w:pos="1072"/>
        </w:tabs>
        <w:ind w:left="1072" w:hanging="358"/>
      </w:pPr>
      <w:rPr>
        <w:rFonts w:ascii="Symbol" w:hAnsi="Symbol" w:hint="default"/>
      </w:rPr>
    </w:lvl>
  </w:abstractNum>
  <w:abstractNum w:abstractNumId="7" w15:restartNumberingAfterBreak="0">
    <w:nsid w:val="FFFFFF83"/>
    <w:multiLevelType w:val="singleLevel"/>
    <w:tmpl w:val="F628F8B0"/>
    <w:lvl w:ilvl="0">
      <w:start w:val="1"/>
      <w:numFmt w:val="bullet"/>
      <w:pStyle w:val="ListBullet2"/>
      <w:lvlText w:val=""/>
      <w:lvlJc w:val="left"/>
      <w:pPr>
        <w:tabs>
          <w:tab w:val="num" w:pos="714"/>
        </w:tabs>
        <w:ind w:left="714" w:hanging="357"/>
      </w:pPr>
      <w:rPr>
        <w:rFonts w:ascii="Symbol" w:hAnsi="Symbol" w:hint="default"/>
      </w:rPr>
    </w:lvl>
  </w:abstractNum>
  <w:abstractNum w:abstractNumId="8" w15:restartNumberingAfterBreak="0">
    <w:nsid w:val="FFFFFF88"/>
    <w:multiLevelType w:val="singleLevel"/>
    <w:tmpl w:val="B96009AC"/>
    <w:lvl w:ilvl="0">
      <w:start w:val="1"/>
      <w:numFmt w:val="decimal"/>
      <w:pStyle w:val="ListNumber"/>
      <w:lvlText w:val="%1"/>
      <w:lvlJc w:val="left"/>
      <w:pPr>
        <w:ind w:left="567" w:hanging="567"/>
      </w:pPr>
      <w:rPr>
        <w:rFonts w:hint="default"/>
      </w:rPr>
    </w:lvl>
  </w:abstractNum>
  <w:abstractNum w:abstractNumId="9" w15:restartNumberingAfterBreak="0">
    <w:nsid w:val="FFFFFF89"/>
    <w:multiLevelType w:val="singleLevel"/>
    <w:tmpl w:val="97AAC87E"/>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07C83D8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8240B77"/>
    <w:multiLevelType w:val="multilevel"/>
    <w:tmpl w:val="F3FA42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3420AB"/>
    <w:multiLevelType w:val="hybridMultilevel"/>
    <w:tmpl w:val="382C4B76"/>
    <w:lvl w:ilvl="0" w:tplc="AED0CFCA">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0AC442D9"/>
    <w:multiLevelType w:val="multilevel"/>
    <w:tmpl w:val="63E48D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CF5A87"/>
    <w:multiLevelType w:val="multilevel"/>
    <w:tmpl w:val="B3BE0C7C"/>
    <w:lvl w:ilvl="0">
      <w:start w:val="1"/>
      <w:numFmt w:val="lowerRoman"/>
      <w:pStyle w:val="ListNumberRoman"/>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604487"/>
    <w:multiLevelType w:val="hybridMultilevel"/>
    <w:tmpl w:val="00CE5DC8"/>
    <w:lvl w:ilvl="0" w:tplc="4190BA6A">
      <w:start w:val="1"/>
      <w:numFmt w:val="decimal"/>
      <w:pStyle w:val="ListNumberBrackets5"/>
      <w:lvlText w:val="(%1)"/>
      <w:lvlJc w:val="left"/>
      <w:pPr>
        <w:tabs>
          <w:tab w:val="num" w:pos="2835"/>
        </w:tabs>
        <w:ind w:left="2835"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6A2BE4"/>
    <w:multiLevelType w:val="hybridMultilevel"/>
    <w:tmpl w:val="A170DA30"/>
    <w:lvl w:ilvl="0" w:tplc="505674DC">
      <w:start w:val="1"/>
      <w:numFmt w:val="decimal"/>
      <w:pStyle w:val="ListNumberBrackets2"/>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41565C9"/>
    <w:multiLevelType w:val="multilevel"/>
    <w:tmpl w:val="241A5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F624C2"/>
    <w:multiLevelType w:val="hybridMultilevel"/>
    <w:tmpl w:val="BE5A1762"/>
    <w:lvl w:ilvl="0" w:tplc="8F4820E4">
      <w:start w:val="1"/>
      <w:numFmt w:val="lowerRoman"/>
      <w:lvlText w:val="%1."/>
      <w:lvlJc w:val="right"/>
      <w:pPr>
        <w:ind w:left="1440" w:hanging="360"/>
      </w:pPr>
      <w:rPr>
        <w:rFonts w:ascii="Arial" w:hAnsi="Arial" w:cs="Arial" w:hint="default"/>
        <w:sz w:val="24"/>
        <w:szCs w:val="24"/>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9" w15:restartNumberingAfterBreak="0">
    <w:nsid w:val="2F4B1CC3"/>
    <w:multiLevelType w:val="multilevel"/>
    <w:tmpl w:val="3912F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E25504"/>
    <w:multiLevelType w:val="hybridMultilevel"/>
    <w:tmpl w:val="76587892"/>
    <w:lvl w:ilvl="0" w:tplc="E094340E">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63B465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3B1B4C3E"/>
    <w:multiLevelType w:val="multilevel"/>
    <w:tmpl w:val="51D851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F74061"/>
    <w:multiLevelType w:val="multilevel"/>
    <w:tmpl w:val="159662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EC66FE"/>
    <w:multiLevelType w:val="hybridMultilevel"/>
    <w:tmpl w:val="9326835E"/>
    <w:lvl w:ilvl="0" w:tplc="E3A2490A">
      <w:start w:val="1"/>
      <w:numFmt w:val="lowerLetter"/>
      <w:pStyle w:val="ListABC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32599B"/>
    <w:multiLevelType w:val="multilevel"/>
    <w:tmpl w:val="12BCFC3A"/>
    <w:lvl w:ilvl="0">
      <w:start w:val="1"/>
      <w:numFmt w:val="lowerRoman"/>
      <w:pStyle w:val="ListNumberRomanBrackets"/>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40C3A70"/>
    <w:multiLevelType w:val="multilevel"/>
    <w:tmpl w:val="F9FA7A42"/>
    <w:lvl w:ilvl="0">
      <w:start w:val="1"/>
      <w:numFmt w:val="lowerLetter"/>
      <w:pStyle w:val="ListNumberAlfabet"/>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9243D54"/>
    <w:multiLevelType w:val="multilevel"/>
    <w:tmpl w:val="13F86634"/>
    <w:lvl w:ilvl="0">
      <w:start w:val="1"/>
      <w:numFmt w:val="lowerRoman"/>
      <w:lvlText w:val="%1."/>
      <w:lvlJc w:val="right"/>
      <w:pPr>
        <w:tabs>
          <w:tab w:val="num" w:pos="731"/>
        </w:tabs>
        <w:ind w:left="731" w:hanging="360"/>
      </w:pPr>
      <w:rPr>
        <w:rFonts w:ascii="Arial" w:hAnsi="Arial" w:cs="Arial" w:hint="default"/>
        <w:sz w:val="24"/>
        <w:szCs w:val="24"/>
      </w:rPr>
    </w:lvl>
    <w:lvl w:ilvl="1" w:tentative="1">
      <w:start w:val="1"/>
      <w:numFmt w:val="decimal"/>
      <w:lvlText w:val="%2."/>
      <w:lvlJc w:val="left"/>
      <w:pPr>
        <w:tabs>
          <w:tab w:val="num" w:pos="1451"/>
        </w:tabs>
        <w:ind w:left="1451" w:hanging="360"/>
      </w:pPr>
    </w:lvl>
    <w:lvl w:ilvl="2" w:tentative="1">
      <w:start w:val="1"/>
      <w:numFmt w:val="decimal"/>
      <w:lvlText w:val="%3."/>
      <w:lvlJc w:val="left"/>
      <w:pPr>
        <w:tabs>
          <w:tab w:val="num" w:pos="2171"/>
        </w:tabs>
        <w:ind w:left="2171" w:hanging="360"/>
      </w:pPr>
    </w:lvl>
    <w:lvl w:ilvl="3" w:tentative="1">
      <w:start w:val="1"/>
      <w:numFmt w:val="decimal"/>
      <w:lvlText w:val="%4."/>
      <w:lvlJc w:val="left"/>
      <w:pPr>
        <w:tabs>
          <w:tab w:val="num" w:pos="2891"/>
        </w:tabs>
        <w:ind w:left="2891" w:hanging="360"/>
      </w:pPr>
    </w:lvl>
    <w:lvl w:ilvl="4" w:tentative="1">
      <w:start w:val="1"/>
      <w:numFmt w:val="decimal"/>
      <w:lvlText w:val="%5."/>
      <w:lvlJc w:val="left"/>
      <w:pPr>
        <w:tabs>
          <w:tab w:val="num" w:pos="3611"/>
        </w:tabs>
        <w:ind w:left="3611" w:hanging="360"/>
      </w:pPr>
    </w:lvl>
    <w:lvl w:ilvl="5" w:tentative="1">
      <w:start w:val="1"/>
      <w:numFmt w:val="decimal"/>
      <w:lvlText w:val="%6."/>
      <w:lvlJc w:val="left"/>
      <w:pPr>
        <w:tabs>
          <w:tab w:val="num" w:pos="4331"/>
        </w:tabs>
        <w:ind w:left="4331" w:hanging="360"/>
      </w:pPr>
    </w:lvl>
    <w:lvl w:ilvl="6" w:tentative="1">
      <w:start w:val="1"/>
      <w:numFmt w:val="decimal"/>
      <w:lvlText w:val="%7."/>
      <w:lvlJc w:val="left"/>
      <w:pPr>
        <w:tabs>
          <w:tab w:val="num" w:pos="5051"/>
        </w:tabs>
        <w:ind w:left="5051" w:hanging="360"/>
      </w:pPr>
    </w:lvl>
    <w:lvl w:ilvl="7" w:tentative="1">
      <w:start w:val="1"/>
      <w:numFmt w:val="decimal"/>
      <w:lvlText w:val="%8."/>
      <w:lvlJc w:val="left"/>
      <w:pPr>
        <w:tabs>
          <w:tab w:val="num" w:pos="5771"/>
        </w:tabs>
        <w:ind w:left="5771" w:hanging="360"/>
      </w:pPr>
    </w:lvl>
    <w:lvl w:ilvl="8" w:tentative="1">
      <w:start w:val="1"/>
      <w:numFmt w:val="decimal"/>
      <w:lvlText w:val="%9."/>
      <w:lvlJc w:val="left"/>
      <w:pPr>
        <w:tabs>
          <w:tab w:val="num" w:pos="6491"/>
        </w:tabs>
        <w:ind w:left="6491" w:hanging="360"/>
      </w:pPr>
    </w:lvl>
  </w:abstractNum>
  <w:abstractNum w:abstractNumId="28" w15:restartNumberingAfterBreak="0">
    <w:nsid w:val="4C8C63F0"/>
    <w:multiLevelType w:val="hybridMultilevel"/>
    <w:tmpl w:val="DE6A043A"/>
    <w:lvl w:ilvl="0" w:tplc="9BF69AB0">
      <w:start w:val="1"/>
      <w:numFmt w:val="decimal"/>
      <w:pStyle w:val="ListNumberBrackets3"/>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33607DD"/>
    <w:multiLevelType w:val="multilevel"/>
    <w:tmpl w:val="B4A8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AB2B50"/>
    <w:multiLevelType w:val="multilevel"/>
    <w:tmpl w:val="BD0278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824BA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2923DA0"/>
    <w:multiLevelType w:val="multilevel"/>
    <w:tmpl w:val="C93ED4F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3" w15:restartNumberingAfterBreak="0">
    <w:nsid w:val="690F1F94"/>
    <w:multiLevelType w:val="multilevel"/>
    <w:tmpl w:val="6ADAC9B0"/>
    <w:lvl w:ilvl="0">
      <w:start w:val="1"/>
      <w:numFmt w:val="decimal"/>
      <w:lvlText w:val="5.%1"/>
      <w:lvlJc w:val="left"/>
      <w:pPr>
        <w:tabs>
          <w:tab w:val="num" w:pos="1080"/>
        </w:tabs>
        <w:ind w:left="1080" w:hanging="360"/>
      </w:pPr>
      <w:rPr>
        <w:rFonts w:ascii="Arial" w:hAnsi="Arial" w:cs="Arial" w:hint="default"/>
        <w:sz w:val="24"/>
        <w:szCs w:val="24"/>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4" w15:restartNumberingAfterBreak="0">
    <w:nsid w:val="69C62422"/>
    <w:multiLevelType w:val="hybridMultilevel"/>
    <w:tmpl w:val="2F74E71C"/>
    <w:lvl w:ilvl="0" w:tplc="71C61C0A">
      <w:start w:val="1"/>
      <w:numFmt w:val="lowerLetter"/>
      <w:pStyle w:val="ListABC2"/>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AFB7DF3"/>
    <w:multiLevelType w:val="multilevel"/>
    <w:tmpl w:val="6686C2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3E2699"/>
    <w:multiLevelType w:val="multilevel"/>
    <w:tmpl w:val="0FCC8A88"/>
    <w:lvl w:ilvl="0">
      <w:start w:val="1"/>
      <w:numFmt w:val="lowerLetter"/>
      <w:pStyle w:val="ListNumberAlfabetBrackets"/>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1C5700F"/>
    <w:multiLevelType w:val="multilevel"/>
    <w:tmpl w:val="A36C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74B50"/>
    <w:multiLevelType w:val="hybridMultilevel"/>
    <w:tmpl w:val="BCB29B36"/>
    <w:lvl w:ilvl="0" w:tplc="1076E5AC">
      <w:start w:val="1"/>
      <w:numFmt w:val="decimal"/>
      <w:pStyle w:val="ListNumberBrackets4"/>
      <w:lvlText w:val="(%1)"/>
      <w:lvlJc w:val="left"/>
      <w:pPr>
        <w:tabs>
          <w:tab w:val="num" w:pos="2268"/>
        </w:tabs>
        <w:ind w:left="2268"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5D94FC0"/>
    <w:multiLevelType w:val="multilevel"/>
    <w:tmpl w:val="7A520C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0"/>
  </w:num>
  <w:num w:numId="13">
    <w:abstractNumId w:val="31"/>
  </w:num>
  <w:num w:numId="14">
    <w:abstractNumId w:val="21"/>
  </w:num>
  <w:num w:numId="15">
    <w:abstractNumId w:val="24"/>
  </w:num>
  <w:num w:numId="16">
    <w:abstractNumId w:val="34"/>
  </w:num>
  <w:num w:numId="17">
    <w:abstractNumId w:val="16"/>
  </w:num>
  <w:num w:numId="18">
    <w:abstractNumId w:val="28"/>
  </w:num>
  <w:num w:numId="19">
    <w:abstractNumId w:val="38"/>
  </w:num>
  <w:num w:numId="20">
    <w:abstractNumId w:val="15"/>
  </w:num>
  <w:num w:numId="21">
    <w:abstractNumId w:val="14"/>
  </w:num>
  <w:num w:numId="22">
    <w:abstractNumId w:val="26"/>
  </w:num>
  <w:num w:numId="23">
    <w:abstractNumId w:val="25"/>
  </w:num>
  <w:num w:numId="24">
    <w:abstractNumId w:val="20"/>
  </w:num>
  <w:num w:numId="25">
    <w:abstractNumId w:val="36"/>
  </w:num>
  <w:num w:numId="26">
    <w:abstractNumId w:val="12"/>
  </w:num>
  <w:num w:numId="27">
    <w:abstractNumId w:val="32"/>
  </w:num>
  <w:num w:numId="28">
    <w:abstractNumId w:val="32"/>
  </w:num>
  <w:num w:numId="29">
    <w:abstractNumId w:val="19"/>
  </w:num>
  <w:num w:numId="30">
    <w:abstractNumId w:val="22"/>
    <w:lvlOverride w:ilvl="0">
      <w:lvl w:ilvl="0">
        <w:numFmt w:val="decimal"/>
        <w:lvlText w:val="%1."/>
        <w:lvlJc w:val="left"/>
      </w:lvl>
    </w:lvlOverride>
  </w:num>
  <w:num w:numId="31">
    <w:abstractNumId w:val="35"/>
    <w:lvlOverride w:ilvl="0">
      <w:lvl w:ilvl="0">
        <w:numFmt w:val="decimal"/>
        <w:lvlText w:val="%1."/>
        <w:lvlJc w:val="left"/>
      </w:lvl>
    </w:lvlOverride>
  </w:num>
  <w:num w:numId="32">
    <w:abstractNumId w:val="17"/>
  </w:num>
  <w:num w:numId="33">
    <w:abstractNumId w:val="11"/>
    <w:lvlOverride w:ilvl="0">
      <w:lvl w:ilvl="0">
        <w:numFmt w:val="decimal"/>
        <w:lvlText w:val="%1."/>
        <w:lvlJc w:val="left"/>
      </w:lvl>
    </w:lvlOverride>
  </w:num>
  <w:num w:numId="34">
    <w:abstractNumId w:val="37"/>
  </w:num>
  <w:num w:numId="35">
    <w:abstractNumId w:val="13"/>
    <w:lvlOverride w:ilvl="0">
      <w:lvl w:ilvl="0">
        <w:numFmt w:val="decimal"/>
        <w:lvlText w:val="%1."/>
        <w:lvlJc w:val="left"/>
      </w:lvl>
    </w:lvlOverride>
  </w:num>
  <w:num w:numId="36">
    <w:abstractNumId w:val="23"/>
    <w:lvlOverride w:ilvl="0">
      <w:lvl w:ilvl="0">
        <w:numFmt w:val="decimal"/>
        <w:lvlText w:val="%1."/>
        <w:lvlJc w:val="left"/>
      </w:lvl>
    </w:lvlOverride>
  </w:num>
  <w:num w:numId="37">
    <w:abstractNumId w:val="29"/>
  </w:num>
  <w:num w:numId="38">
    <w:abstractNumId w:val="39"/>
    <w:lvlOverride w:ilvl="0">
      <w:lvl w:ilvl="0">
        <w:numFmt w:val="decimal"/>
        <w:lvlText w:val="%1."/>
        <w:lvlJc w:val="left"/>
      </w:lvl>
    </w:lvlOverride>
  </w:num>
  <w:num w:numId="39">
    <w:abstractNumId w:val="30"/>
    <w:lvlOverride w:ilvl="0">
      <w:lvl w:ilvl="0">
        <w:numFmt w:val="decimal"/>
        <w:lvlText w:val="%1."/>
        <w:lvlJc w:val="left"/>
      </w:lvl>
    </w:lvlOverride>
  </w:num>
  <w:num w:numId="40">
    <w:abstractNumId w:val="18"/>
  </w:num>
  <w:num w:numId="41">
    <w:abstractNumId w:val="27"/>
  </w:num>
  <w:num w:numId="42">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3MDcxNDIyMLcwtDRT0lEKTi0uzszPAykwrAUAYRpeoSwAAAA="/>
  </w:docVars>
  <w:rsids>
    <w:rsidRoot w:val="00BF1AAF"/>
    <w:rsid w:val="00001432"/>
    <w:rsid w:val="00064086"/>
    <w:rsid w:val="000A1B38"/>
    <w:rsid w:val="001E0A0D"/>
    <w:rsid w:val="003A55D2"/>
    <w:rsid w:val="003B0F49"/>
    <w:rsid w:val="0044077B"/>
    <w:rsid w:val="005C4D8C"/>
    <w:rsid w:val="005F3ADE"/>
    <w:rsid w:val="007B4022"/>
    <w:rsid w:val="008079A5"/>
    <w:rsid w:val="008731D9"/>
    <w:rsid w:val="008D5D1C"/>
    <w:rsid w:val="008E6337"/>
    <w:rsid w:val="00AA5CBE"/>
    <w:rsid w:val="00AC2781"/>
    <w:rsid w:val="00B50889"/>
    <w:rsid w:val="00BC1975"/>
    <w:rsid w:val="00BF1AAF"/>
    <w:rsid w:val="00C21000"/>
    <w:rsid w:val="00D12931"/>
    <w:rsid w:val="00DC21DD"/>
    <w:rsid w:val="00DE3F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E5C265"/>
  <w15:docId w15:val="{B604E5B1-C6EE-4E0E-A876-1117A9FB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line="360" w:lineRule="auto"/>
      <w:jc w:val="both"/>
    </w:pPr>
    <w:rPr>
      <w:rFonts w:ascii="Tahoma" w:hAnsi="Tahoma"/>
      <w:sz w:val="24"/>
      <w:lang w:val="en-GB" w:eastAsia="en-US"/>
    </w:rPr>
  </w:style>
  <w:style w:type="paragraph" w:styleId="Heading1">
    <w:name w:val="heading 1"/>
    <w:basedOn w:val="Normal"/>
    <w:next w:val="Normal"/>
    <w:link w:val="Heading1Char"/>
    <w:autoRedefine/>
    <w:qFormat/>
    <w:pPr>
      <w:keepNext/>
      <w:numPr>
        <w:numId w:val="1"/>
      </w:numPr>
      <w:spacing w:before="240"/>
      <w:ind w:left="431" w:hanging="431"/>
      <w:jc w:val="left"/>
      <w:outlineLvl w:val="0"/>
    </w:pPr>
    <w:rPr>
      <w:rFonts w:cs="Tahoma"/>
      <w:b/>
      <w:bCs/>
      <w:kern w:val="32"/>
      <w:szCs w:val="24"/>
      <w:lang w:eastAsia="en-ZA"/>
    </w:rPr>
  </w:style>
  <w:style w:type="paragraph" w:styleId="Heading2">
    <w:name w:val="heading 2"/>
    <w:basedOn w:val="Normal"/>
    <w:next w:val="Normal"/>
    <w:autoRedefine/>
    <w:qFormat/>
    <w:pPr>
      <w:keepNext/>
      <w:numPr>
        <w:ilvl w:val="1"/>
        <w:numId w:val="28"/>
      </w:numPr>
      <w:spacing w:before="240"/>
      <w:jc w:val="left"/>
      <w:outlineLvl w:val="1"/>
    </w:pPr>
    <w:rPr>
      <w:rFonts w:cs="Arial"/>
      <w:b/>
      <w:bCs/>
      <w:i/>
      <w:iCs/>
      <w:szCs w:val="22"/>
    </w:rPr>
  </w:style>
  <w:style w:type="paragraph" w:styleId="Heading3">
    <w:name w:val="heading 3"/>
    <w:basedOn w:val="Normal"/>
    <w:next w:val="Normal"/>
    <w:autoRedefine/>
    <w:qFormat/>
    <w:pPr>
      <w:keepNext/>
      <w:numPr>
        <w:ilvl w:val="2"/>
        <w:numId w:val="28"/>
      </w:numPr>
      <w:spacing w:before="120"/>
      <w:jc w:val="left"/>
      <w:outlineLvl w:val="2"/>
    </w:pPr>
    <w:rPr>
      <w:rFonts w:cs="Arial"/>
      <w:bCs/>
      <w:i/>
    </w:rPr>
  </w:style>
  <w:style w:type="paragraph" w:styleId="Heading4">
    <w:name w:val="heading 4"/>
    <w:basedOn w:val="Normal"/>
    <w:next w:val="Normal"/>
    <w:autoRedefine/>
    <w:qFormat/>
    <w:pPr>
      <w:keepNext/>
      <w:numPr>
        <w:ilvl w:val="3"/>
        <w:numId w:val="28"/>
      </w:numPr>
      <w:spacing w:before="120"/>
      <w:jc w:val="left"/>
      <w:outlineLvl w:val="3"/>
    </w:pPr>
    <w:rPr>
      <w:bCs/>
    </w:rPr>
  </w:style>
  <w:style w:type="paragraph" w:styleId="Heading5">
    <w:name w:val="heading 5"/>
    <w:basedOn w:val="Normal"/>
    <w:next w:val="Normal"/>
    <w:qFormat/>
    <w:pPr>
      <w:keepNext/>
      <w:numPr>
        <w:ilvl w:val="4"/>
        <w:numId w:val="28"/>
      </w:numPr>
      <w:tabs>
        <w:tab w:val="left" w:pos="1134"/>
      </w:tabs>
      <w:spacing w:before="120"/>
      <w:jc w:val="left"/>
      <w:outlineLvl w:val="4"/>
    </w:pPr>
    <w:rPr>
      <w:bCs/>
      <w:iCs/>
    </w:rPr>
  </w:style>
  <w:style w:type="paragraph" w:styleId="Heading6">
    <w:name w:val="heading 6"/>
    <w:basedOn w:val="Normal"/>
    <w:next w:val="Normal"/>
    <w:semiHidden/>
    <w:qFormat/>
    <w:pPr>
      <w:keepNext/>
      <w:numPr>
        <w:ilvl w:val="5"/>
        <w:numId w:val="28"/>
      </w:numPr>
      <w:spacing w:before="120"/>
      <w:outlineLvl w:val="5"/>
    </w:pPr>
    <w:rPr>
      <w:bCs/>
      <w:szCs w:val="22"/>
    </w:rPr>
  </w:style>
  <w:style w:type="paragraph" w:styleId="Heading7">
    <w:name w:val="heading 7"/>
    <w:basedOn w:val="Normal"/>
    <w:next w:val="Normal"/>
    <w:semiHidden/>
    <w:qFormat/>
    <w:pPr>
      <w:keepNext/>
      <w:numPr>
        <w:ilvl w:val="6"/>
        <w:numId w:val="28"/>
      </w:numPr>
      <w:spacing w:before="120"/>
      <w:outlineLvl w:val="6"/>
    </w:pPr>
    <w:rPr>
      <w:szCs w:val="24"/>
    </w:rPr>
  </w:style>
  <w:style w:type="paragraph" w:styleId="Heading8">
    <w:name w:val="heading 8"/>
    <w:basedOn w:val="Normal"/>
    <w:next w:val="Normal"/>
    <w:semiHidden/>
    <w:qFormat/>
    <w:pPr>
      <w:keepNext/>
      <w:numPr>
        <w:ilvl w:val="7"/>
        <w:numId w:val="28"/>
      </w:numPr>
      <w:spacing w:before="120"/>
      <w:outlineLvl w:val="7"/>
    </w:pPr>
    <w:rPr>
      <w:iCs/>
      <w:szCs w:val="24"/>
    </w:rPr>
  </w:style>
  <w:style w:type="paragraph" w:styleId="Heading9">
    <w:name w:val="heading 9"/>
    <w:basedOn w:val="Normal"/>
    <w:next w:val="Normal"/>
    <w:semiHidden/>
    <w:qFormat/>
    <w:pPr>
      <w:keepNext/>
      <w:numPr>
        <w:ilvl w:val="8"/>
        <w:numId w:val="28"/>
      </w:numPr>
      <w:spacing w:before="12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Heading1"/>
    <w:next w:val="Normal"/>
    <w:uiPriority w:val="39"/>
    <w:semiHidden/>
    <w:qFormat/>
    <w:pPr>
      <w:keepLines/>
      <w:numPr>
        <w:numId w:val="0"/>
      </w:numPr>
      <w:spacing w:before="480" w:after="0"/>
      <w:outlineLvl w:val="9"/>
    </w:pPr>
    <w:rPr>
      <w:rFonts w:ascii="Cambria" w:eastAsiaTheme="majorEastAsia" w:hAnsi="Cambria" w:cstheme="majorBidi"/>
      <w:color w:val="365F91"/>
      <w:kern w:val="0"/>
      <w:sz w:val="28"/>
      <w:szCs w:val="28"/>
    </w:rPr>
  </w:style>
  <w:style w:type="paragraph" w:customStyle="1" w:styleId="Citation">
    <w:name w:val="Citation"/>
    <w:basedOn w:val="Normal"/>
    <w:next w:val="Normal"/>
    <w:autoRedefine/>
    <w:semiHidden/>
    <w:qFormat/>
    <w:pPr>
      <w:spacing w:line="240" w:lineRule="auto"/>
      <w:ind w:left="425" w:right="425"/>
    </w:pPr>
    <w:rPr>
      <w:i/>
    </w:rPr>
  </w:style>
  <w:style w:type="paragraph" w:customStyle="1" w:styleId="Heading0">
    <w:name w:val="Heading 0"/>
    <w:basedOn w:val="Normal"/>
    <w:next w:val="Heading1"/>
    <w:autoRedefine/>
    <w:pPr>
      <w:keepNext/>
      <w:spacing w:after="360"/>
    </w:pPr>
    <w:rPr>
      <w:b/>
      <w:caps/>
      <w:sz w:val="28"/>
    </w:rPr>
  </w:style>
  <w:style w:type="paragraph" w:customStyle="1" w:styleId="Department">
    <w:name w:val="Department"/>
    <w:basedOn w:val="Normal"/>
    <w:next w:val="Normal"/>
    <w:semiHidden/>
    <w:rPr>
      <w:b/>
      <w:sz w:val="18"/>
      <w:szCs w:val="18"/>
    </w:rPr>
  </w:style>
  <w:style w:type="paragraph" w:customStyle="1" w:styleId="DocSource">
    <w:name w:val="DocSource"/>
    <w:basedOn w:val="Normal"/>
    <w:semiHidden/>
    <w:pPr>
      <w:jc w:val="left"/>
    </w:pPr>
    <w:rPr>
      <w:sz w:val="12"/>
      <w:szCs w:val="12"/>
    </w:rPr>
  </w:style>
  <w:style w:type="paragraph" w:customStyle="1" w:styleId="FrontPageTitle">
    <w:name w:val="FrontPage_Title"/>
    <w:basedOn w:val="Normal"/>
    <w:next w:val="Normal"/>
    <w:semiHidden/>
    <w:pPr>
      <w:spacing w:after="1200"/>
      <w:jc w:val="center"/>
    </w:pPr>
    <w:rPr>
      <w:rFonts w:ascii="Bookman Old Style" w:hAnsi="Bookman Old Style"/>
      <w:b/>
      <w:sz w:val="40"/>
    </w:rPr>
  </w:style>
  <w:style w:type="paragraph" w:styleId="Footer">
    <w:name w:val="footer"/>
    <w:basedOn w:val="Normal"/>
    <w:autoRedefine/>
    <w:pPr>
      <w:tabs>
        <w:tab w:val="right" w:pos="9582"/>
        <w:tab w:val="right" w:pos="14799"/>
      </w:tabs>
      <w:spacing w:after="0" w:line="240" w:lineRule="auto"/>
      <w:jc w:val="center"/>
    </w:pPr>
    <w:rPr>
      <w:noProof/>
      <w:szCs w:val="16"/>
    </w:rPr>
  </w:style>
  <w:style w:type="character" w:styleId="FootnoteReference">
    <w:name w:val="footnote reference"/>
    <w:rPr>
      <w:rFonts w:ascii="Arial" w:hAnsi="Arial"/>
      <w:sz w:val="20"/>
      <w:vertAlign w:val="superscript"/>
      <w:lang w:val="en-ZA"/>
    </w:rPr>
  </w:style>
  <w:style w:type="paragraph" w:styleId="FootnoteText">
    <w:name w:val="footnote text"/>
    <w:basedOn w:val="Normal"/>
    <w:autoRedefine/>
    <w:pPr>
      <w:tabs>
        <w:tab w:val="left" w:pos="426"/>
      </w:tabs>
      <w:spacing w:after="0" w:line="240" w:lineRule="auto"/>
      <w:ind w:left="425" w:hanging="425"/>
    </w:pPr>
    <w:rPr>
      <w:sz w:val="20"/>
      <w:lang w:eastAsia="en-ZA"/>
    </w:rPr>
  </w:style>
  <w:style w:type="paragraph" w:customStyle="1" w:styleId="TableHeading">
    <w:name w:val="Table_Heading"/>
    <w:basedOn w:val="Normal"/>
    <w:next w:val="Normal"/>
    <w:pPr>
      <w:keepNext/>
      <w:spacing w:before="60" w:after="60" w:line="240" w:lineRule="auto"/>
      <w:jc w:val="center"/>
    </w:pPr>
    <w:rPr>
      <w:b/>
    </w:rPr>
  </w:style>
  <w:style w:type="character" w:styleId="Hyperlink">
    <w:name w:val="Hyperlink"/>
    <w:uiPriority w:val="99"/>
    <w:rPr>
      <w:rFonts w:ascii="Tahoma" w:hAnsi="Tahoma"/>
      <w:color w:val="0000FF"/>
      <w:sz w:val="24"/>
      <w:szCs w:val="20"/>
      <w:u w:val="single"/>
      <w:lang w:val="en-ZA"/>
    </w:rPr>
  </w:style>
  <w:style w:type="character" w:styleId="PageNumber">
    <w:name w:val="page number"/>
    <w:rPr>
      <w:rFonts w:ascii="Arial" w:hAnsi="Arial"/>
      <w:sz w:val="24"/>
      <w:szCs w:val="20"/>
      <w:lang w:val="en-ZA"/>
    </w:rPr>
  </w:style>
  <w:style w:type="paragraph" w:customStyle="1" w:styleId="TableParagraphAfter">
    <w:name w:val="Table_ParagraphAfter"/>
    <w:basedOn w:val="Normal"/>
    <w:next w:val="Normal"/>
    <w:pPr>
      <w:spacing w:before="240"/>
    </w:pPr>
  </w:style>
  <w:style w:type="paragraph" w:customStyle="1" w:styleId="TOCHeading0">
    <w:name w:val="TOC_Heading"/>
    <w:basedOn w:val="Normal"/>
    <w:next w:val="TOC1"/>
    <w:autoRedefine/>
    <w:pPr>
      <w:keepNext/>
      <w:spacing w:after="360"/>
      <w:jc w:val="left"/>
    </w:pPr>
    <w:rPr>
      <w:b/>
      <w:caps/>
      <w:sz w:val="28"/>
      <w:szCs w:val="24"/>
    </w:rPr>
  </w:style>
  <w:style w:type="paragraph" w:customStyle="1" w:styleId="ListABC1">
    <w:name w:val="List_ABC 1"/>
    <w:basedOn w:val="Normal"/>
    <w:semiHidden/>
    <w:pPr>
      <w:numPr>
        <w:numId w:val="15"/>
      </w:numPr>
    </w:pPr>
  </w:style>
  <w:style w:type="paragraph" w:styleId="TOC1">
    <w:name w:val="toc 1"/>
    <w:basedOn w:val="Normal"/>
    <w:next w:val="Normal"/>
    <w:autoRedefine/>
    <w:uiPriority w:val="39"/>
    <w:pPr>
      <w:tabs>
        <w:tab w:val="left" w:pos="1418"/>
        <w:tab w:val="right" w:leader="dot" w:pos="9299"/>
      </w:tabs>
      <w:spacing w:before="480"/>
      <w:ind w:left="1418" w:right="567" w:hanging="1418"/>
      <w:jc w:val="left"/>
    </w:pPr>
    <w:rPr>
      <w:b/>
      <w:szCs w:val="22"/>
    </w:rPr>
  </w:style>
  <w:style w:type="paragraph" w:customStyle="1" w:styleId="ListABC2">
    <w:name w:val="List_ABC 2"/>
    <w:basedOn w:val="Normal"/>
    <w:semiHidden/>
    <w:pPr>
      <w:numPr>
        <w:numId w:val="16"/>
      </w:numPr>
    </w:pPr>
  </w:style>
  <w:style w:type="paragraph" w:customStyle="1" w:styleId="ListNumberBrackets2">
    <w:name w:val="List_Number_Brackets 2"/>
    <w:basedOn w:val="Normal"/>
    <w:semiHidden/>
    <w:pPr>
      <w:numPr>
        <w:numId w:val="17"/>
      </w:numPr>
    </w:pPr>
  </w:style>
  <w:style w:type="paragraph" w:customStyle="1" w:styleId="ListNumberBrackets3">
    <w:name w:val="List_Number_Brackets 3"/>
    <w:basedOn w:val="Normal"/>
    <w:semiHidden/>
    <w:pPr>
      <w:numPr>
        <w:numId w:val="18"/>
      </w:numPr>
    </w:pPr>
  </w:style>
  <w:style w:type="paragraph" w:customStyle="1" w:styleId="ListNumberBrackets4">
    <w:name w:val="List_Number_Brackets 4"/>
    <w:basedOn w:val="Normal"/>
    <w:semiHidden/>
    <w:pPr>
      <w:numPr>
        <w:numId w:val="19"/>
      </w:numPr>
    </w:pPr>
  </w:style>
  <w:style w:type="paragraph" w:customStyle="1" w:styleId="ListNumberBrackets5">
    <w:name w:val="List_Number_Brackets 5"/>
    <w:basedOn w:val="Normal"/>
    <w:semiHidden/>
    <w:pPr>
      <w:numPr>
        <w:numId w:val="20"/>
      </w:numPr>
    </w:pPr>
  </w:style>
  <w:style w:type="paragraph" w:customStyle="1" w:styleId="CaptionBotTblFig">
    <w:name w:val="CaptionBot_Tbl_Fig"/>
    <w:basedOn w:val="Normal"/>
    <w:next w:val="Normal"/>
    <w:autoRedefine/>
    <w:pPr>
      <w:spacing w:before="60" w:after="600"/>
      <w:ind w:left="1701" w:hanging="1701"/>
      <w:jc w:val="left"/>
    </w:pPr>
    <w:rPr>
      <w:b/>
    </w:rPr>
  </w:style>
  <w:style w:type="numbering" w:styleId="111111">
    <w:name w:val="Outline List 2"/>
    <w:basedOn w:val="NoList"/>
    <w:semiHidden/>
    <w:pPr>
      <w:numPr>
        <w:numId w:val="13"/>
      </w:numPr>
    </w:pPr>
  </w:style>
  <w:style w:type="numbering" w:styleId="1ai">
    <w:name w:val="Outline List 1"/>
    <w:basedOn w:val="NoList"/>
    <w:semiHidden/>
    <w:pPr>
      <w:numPr>
        <w:numId w:val="12"/>
      </w:numPr>
    </w:pPr>
  </w:style>
  <w:style w:type="numbering" w:styleId="ArticleSection">
    <w:name w:val="Outline List 3"/>
    <w:basedOn w:val="NoList"/>
    <w:semiHidden/>
    <w:pPr>
      <w:numPr>
        <w:numId w:val="14"/>
      </w:numPr>
    </w:pPr>
  </w:style>
  <w:style w:type="paragraph" w:styleId="BodyText2">
    <w:name w:val="Body Text 2"/>
    <w:basedOn w:val="Normal"/>
    <w:link w:val="BodyText2Char"/>
    <w:semiHidden/>
    <w:pPr>
      <w:spacing w:line="480" w:lineRule="auto"/>
    </w:pPr>
  </w:style>
  <w:style w:type="paragraph" w:styleId="BodyText3">
    <w:name w:val="Body Text 3"/>
    <w:basedOn w:val="Normal"/>
    <w:link w:val="BodyText3Char"/>
    <w:semiHidden/>
    <w:rPr>
      <w:sz w:val="16"/>
      <w:szCs w:val="16"/>
    </w:rPr>
  </w:style>
  <w:style w:type="paragraph" w:styleId="BodyTextFirstIndent">
    <w:name w:val="Body Text First Indent"/>
    <w:basedOn w:val="Normal"/>
    <w:link w:val="BodyTextFirstIndentChar"/>
    <w:semiHidden/>
    <w:pPr>
      <w:ind w:firstLine="210"/>
    </w:pPr>
  </w:style>
  <w:style w:type="paragraph" w:styleId="BodyTextIndent">
    <w:name w:val="Body Text Indent"/>
    <w:basedOn w:val="Normal"/>
    <w:link w:val="BodyTextIndentChar"/>
    <w:semiHidden/>
    <w:pPr>
      <w:ind w:left="283"/>
    </w:pPr>
  </w:style>
  <w:style w:type="paragraph" w:styleId="BodyTextFirstIndent2">
    <w:name w:val="Body Text First Indent 2"/>
    <w:basedOn w:val="BodyTextIndent"/>
    <w:link w:val="BodyTextFirstIndent2Char"/>
    <w:semiHidden/>
    <w:pPr>
      <w:ind w:firstLine="210"/>
    </w:pPr>
  </w:style>
  <w:style w:type="paragraph" w:styleId="BodyTextIndent2">
    <w:name w:val="Body Text Indent 2"/>
    <w:basedOn w:val="Normal"/>
    <w:link w:val="BodyTextIndent2Char"/>
    <w:semiHidden/>
    <w:pPr>
      <w:spacing w:line="480" w:lineRule="auto"/>
      <w:ind w:left="283"/>
    </w:pPr>
  </w:style>
  <w:style w:type="paragraph" w:styleId="BodyTextIndent3">
    <w:name w:val="Body Text Indent 3"/>
    <w:basedOn w:val="Normal"/>
    <w:link w:val="BodyTextIndent3Char"/>
    <w:semiHidden/>
    <w:pPr>
      <w:ind w:left="283"/>
    </w:pPr>
    <w:rPr>
      <w:sz w:val="16"/>
      <w:szCs w:val="16"/>
    </w:rPr>
  </w:style>
  <w:style w:type="paragraph" w:styleId="Closing">
    <w:name w:val="Closing"/>
    <w:basedOn w:val="Normal"/>
    <w:link w:val="ClosingChar"/>
    <w:semiHidden/>
    <w:pPr>
      <w:ind w:left="4252"/>
    </w:pPr>
  </w:style>
  <w:style w:type="paragraph" w:styleId="Date">
    <w:name w:val="Date"/>
    <w:basedOn w:val="Normal"/>
    <w:next w:val="Normal"/>
    <w:link w:val="DateChar"/>
    <w:semiHidden/>
  </w:style>
  <w:style w:type="paragraph" w:styleId="E-mailSignature">
    <w:name w:val="E-mail Signature"/>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cs="Arial"/>
      <w:szCs w:val="24"/>
    </w:rPr>
  </w:style>
  <w:style w:type="paragraph" w:styleId="EnvelopeReturn">
    <w:name w:val="envelope return"/>
    <w:basedOn w:val="Normal"/>
    <w:semiHidden/>
    <w:rPr>
      <w:rFonts w:cs="Arial"/>
    </w:rPr>
  </w:style>
  <w:style w:type="character" w:styleId="FollowedHyperlink">
    <w:name w:val="FollowedHyperlink"/>
    <w:semiHidden/>
    <w:rPr>
      <w:color w:val="800080"/>
      <w:u w:val="single"/>
    </w:rPr>
  </w:style>
  <w:style w:type="paragraph" w:styleId="Header">
    <w:name w:val="header"/>
    <w:basedOn w:val="Normal"/>
    <w:semiHidden/>
    <w:pPr>
      <w:tabs>
        <w:tab w:val="center" w:pos="4320"/>
        <w:tab w:val="right" w:pos="8640"/>
      </w:tabs>
    </w:pPr>
  </w:style>
  <w:style w:type="character" w:styleId="HTMLAcronym">
    <w:name w:val="HTML Acronym"/>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LineNumber">
    <w:name w:val="line number"/>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2">
    <w:name w:val="List Bullet 2"/>
    <w:basedOn w:val="Normal"/>
    <w:semiHidden/>
    <w:pPr>
      <w:numPr>
        <w:numId w:val="4"/>
      </w:numPr>
      <w:contextualSpacing/>
    </w:pPr>
  </w:style>
  <w:style w:type="paragraph" w:styleId="ListBullet3">
    <w:name w:val="List Bullet 3"/>
    <w:basedOn w:val="Normal"/>
    <w:semiHidden/>
    <w:pPr>
      <w:numPr>
        <w:numId w:val="5"/>
      </w:numPr>
      <w:contextualSpacing/>
    </w:pPr>
  </w:style>
  <w:style w:type="paragraph" w:styleId="ListBullet4">
    <w:name w:val="List Bullet 4"/>
    <w:basedOn w:val="Normal"/>
    <w:semiHidden/>
    <w:pPr>
      <w:numPr>
        <w:numId w:val="6"/>
      </w:numPr>
      <w:contextualSpacing/>
    </w:pPr>
  </w:style>
  <w:style w:type="paragraph" w:styleId="ListBullet5">
    <w:name w:val="List Bullet 5"/>
    <w:basedOn w:val="Normal"/>
    <w:semiHidden/>
    <w:pPr>
      <w:numPr>
        <w:numId w:val="7"/>
      </w:numPr>
      <w:contextualSpacing/>
    </w:pPr>
  </w:style>
  <w:style w:type="paragraph" w:styleId="ListContinue">
    <w:name w:val="List Continue"/>
    <w:basedOn w:val="Normal"/>
    <w:semiHidden/>
    <w:pPr>
      <w:ind w:left="567"/>
    </w:pPr>
  </w:style>
  <w:style w:type="paragraph" w:styleId="ListContinue2">
    <w:name w:val="List Continue 2"/>
    <w:basedOn w:val="Normal"/>
    <w:semiHidden/>
    <w:pPr>
      <w:ind w:left="1134"/>
    </w:pPr>
  </w:style>
  <w:style w:type="paragraph" w:styleId="ListContinue3">
    <w:name w:val="List Continue 3"/>
    <w:basedOn w:val="Normal"/>
    <w:semiHidden/>
    <w:pPr>
      <w:ind w:left="1701"/>
    </w:pPr>
  </w:style>
  <w:style w:type="paragraph" w:styleId="ListContinue4">
    <w:name w:val="List Continue 4"/>
    <w:basedOn w:val="Normal"/>
    <w:semiHidden/>
    <w:pPr>
      <w:ind w:left="2268"/>
    </w:pPr>
  </w:style>
  <w:style w:type="paragraph" w:styleId="ListContinue5">
    <w:name w:val="List Continue 5"/>
    <w:basedOn w:val="Normal"/>
    <w:semiHidden/>
    <w:pPr>
      <w:ind w:left="2835"/>
    </w:pPr>
  </w:style>
  <w:style w:type="paragraph" w:styleId="ListNumber">
    <w:name w:val="List Number"/>
    <w:basedOn w:val="Normal"/>
    <w:semiHidden/>
    <w:pPr>
      <w:numPr>
        <w:numId w:val="3"/>
      </w:numPr>
      <w:tabs>
        <w:tab w:val="left" w:pos="567"/>
      </w:tabs>
      <w:spacing w:line="240" w:lineRule="auto"/>
    </w:pPr>
  </w:style>
  <w:style w:type="paragraph" w:styleId="ListNumber2">
    <w:name w:val="List Number 2"/>
    <w:basedOn w:val="Normal"/>
    <w:semiHidden/>
    <w:pPr>
      <w:numPr>
        <w:numId w:val="8"/>
      </w:numPr>
      <w:contextualSpacing/>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paragraph" w:styleId="NormalWeb">
    <w:name w:val="Normal (Web)"/>
    <w:basedOn w:val="Normal"/>
    <w:uiPriority w:val="99"/>
    <w:semiHidden/>
    <w:rPr>
      <w:rFonts w:ascii="Times New Roman" w:hAnsi="Times New Roman"/>
      <w:szCs w:val="24"/>
    </w:rPr>
  </w:style>
  <w:style w:type="paragraph" w:styleId="TOC2">
    <w:name w:val="toc 2"/>
    <w:basedOn w:val="Normal"/>
    <w:next w:val="Normal"/>
    <w:autoRedefine/>
    <w:uiPriority w:val="39"/>
    <w:pPr>
      <w:tabs>
        <w:tab w:val="left" w:pos="1418"/>
        <w:tab w:val="right" w:leader="dot" w:pos="9299"/>
      </w:tabs>
      <w:spacing w:before="120"/>
      <w:ind w:left="1418" w:right="567" w:hanging="1418"/>
      <w:jc w:val="left"/>
    </w:pPr>
    <w:rPr>
      <w:b/>
      <w:i/>
    </w:rPr>
  </w:style>
  <w:style w:type="paragraph" w:styleId="NoteHeading">
    <w:name w:val="Note Heading"/>
    <w:basedOn w:val="Normal"/>
    <w:next w:val="Normal"/>
    <w:link w:val="NoteHeadingChar"/>
    <w:semiHidden/>
  </w:style>
  <w:style w:type="paragraph" w:styleId="PlainText">
    <w:name w:val="Plain Text"/>
    <w:basedOn w:val="Normal"/>
    <w:link w:val="PlainTextChar"/>
    <w:semiHidden/>
    <w:rPr>
      <w:rFonts w:ascii="Courier New" w:hAnsi="Courier New" w:cs="Courier New"/>
    </w:rPr>
  </w:style>
  <w:style w:type="paragraph" w:styleId="Salutation">
    <w:name w:val="Salutation"/>
    <w:basedOn w:val="Normal"/>
    <w:next w:val="Normal"/>
    <w:link w:val="SalutationChar"/>
    <w:semiHidden/>
  </w:style>
  <w:style w:type="paragraph" w:styleId="Signature">
    <w:name w:val="Signature"/>
    <w:basedOn w:val="Normal"/>
    <w:link w:val="SignatureChar"/>
    <w:semiHidden/>
    <w:pPr>
      <w:ind w:left="4252"/>
    </w:pPr>
  </w:style>
  <w:style w:type="table" w:styleId="Table3Deffects1">
    <w:name w:val="Table 3D effects 1"/>
    <w:basedOn w:val="TableNormal"/>
    <w:semiHidden/>
    <w:pPr>
      <w:spacing w:after="1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1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1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1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1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1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1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spacing w:after="1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spacing w:after="1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spacing w:after="1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1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1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1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1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1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1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1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1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1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1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1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1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1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1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1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1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1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1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1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1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1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1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1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1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1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1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3">
    <w:name w:val="toc 3"/>
    <w:basedOn w:val="Normal"/>
    <w:next w:val="Normal"/>
    <w:autoRedefine/>
    <w:uiPriority w:val="39"/>
    <w:pPr>
      <w:tabs>
        <w:tab w:val="left" w:pos="1418"/>
        <w:tab w:val="right" w:leader="dot" w:pos="9299"/>
      </w:tabs>
      <w:ind w:left="1418" w:right="567" w:hanging="1418"/>
      <w:jc w:val="left"/>
    </w:pPr>
    <w:rPr>
      <w:i/>
    </w:rPr>
  </w:style>
  <w:style w:type="paragraph" w:styleId="TOC4">
    <w:name w:val="toc 4"/>
    <w:basedOn w:val="Normal"/>
    <w:next w:val="Normal"/>
    <w:autoRedefine/>
    <w:uiPriority w:val="39"/>
    <w:pPr>
      <w:tabs>
        <w:tab w:val="left" w:pos="1418"/>
        <w:tab w:val="right" w:leader="dot" w:pos="9299"/>
      </w:tabs>
      <w:ind w:left="1418" w:right="567" w:hanging="1418"/>
      <w:jc w:val="left"/>
    </w:pPr>
  </w:style>
  <w:style w:type="paragraph" w:styleId="TOC5">
    <w:name w:val="toc 5"/>
    <w:basedOn w:val="Normal"/>
    <w:next w:val="Normal"/>
    <w:autoRedefine/>
    <w:uiPriority w:val="39"/>
    <w:pPr>
      <w:tabs>
        <w:tab w:val="left" w:pos="1418"/>
        <w:tab w:val="right" w:leader="dot" w:pos="9299"/>
      </w:tabs>
      <w:ind w:left="1418" w:right="567" w:hanging="1418"/>
      <w:jc w:val="left"/>
    </w:pPr>
  </w:style>
  <w:style w:type="paragraph" w:styleId="TOC6">
    <w:name w:val="toc 6"/>
    <w:basedOn w:val="Normal"/>
    <w:next w:val="Normal"/>
    <w:autoRedefine/>
    <w:semiHidden/>
    <w:pPr>
      <w:tabs>
        <w:tab w:val="right" w:leader="dot" w:pos="9299"/>
      </w:tabs>
      <w:ind w:left="1202" w:right="567" w:hanging="1202"/>
    </w:pPr>
  </w:style>
  <w:style w:type="paragraph" w:styleId="TOC7">
    <w:name w:val="toc 7"/>
    <w:basedOn w:val="Normal"/>
    <w:next w:val="Normal"/>
    <w:autoRedefine/>
    <w:semiHidden/>
    <w:pPr>
      <w:tabs>
        <w:tab w:val="right" w:leader="dot" w:pos="9299"/>
      </w:tabs>
      <w:ind w:left="1202" w:right="567" w:hanging="1202"/>
    </w:pPr>
  </w:style>
  <w:style w:type="paragraph" w:styleId="TOC8">
    <w:name w:val="toc 8"/>
    <w:basedOn w:val="Normal"/>
    <w:next w:val="Normal"/>
    <w:autoRedefine/>
    <w:uiPriority w:val="39"/>
    <w:pPr>
      <w:tabs>
        <w:tab w:val="right" w:leader="dot" w:pos="9299"/>
      </w:tabs>
      <w:spacing w:after="120"/>
      <w:ind w:right="567"/>
      <w:jc w:val="left"/>
    </w:pPr>
    <w:rPr>
      <w:b/>
      <w:caps/>
    </w:rPr>
  </w:style>
  <w:style w:type="paragraph" w:styleId="TOC9">
    <w:name w:val="toc 9"/>
    <w:basedOn w:val="Normal"/>
    <w:next w:val="Normal"/>
    <w:autoRedefine/>
    <w:uiPriority w:val="39"/>
    <w:pPr>
      <w:tabs>
        <w:tab w:val="right" w:leader="dot" w:pos="9299"/>
      </w:tabs>
      <w:spacing w:before="480" w:after="120"/>
      <w:ind w:right="567"/>
      <w:jc w:val="left"/>
    </w:pPr>
    <w:rPr>
      <w:b/>
    </w:rPr>
  </w:style>
  <w:style w:type="paragraph" w:customStyle="1" w:styleId="CaptionTopTblFig">
    <w:name w:val="CaptionTop_Tbl_Fig"/>
    <w:basedOn w:val="Normal"/>
    <w:next w:val="Normal"/>
    <w:autoRedefine/>
    <w:pPr>
      <w:keepNext/>
      <w:spacing w:before="240"/>
      <w:ind w:left="1701" w:hanging="1701"/>
      <w:jc w:val="left"/>
    </w:pPr>
    <w:rPr>
      <w:b/>
    </w:rPr>
  </w:style>
  <w:style w:type="paragraph" w:styleId="TableofFigures">
    <w:name w:val="table of figures"/>
    <w:basedOn w:val="Normal"/>
    <w:next w:val="Normal"/>
    <w:autoRedefine/>
    <w:uiPriority w:val="99"/>
    <w:pPr>
      <w:tabs>
        <w:tab w:val="left" w:pos="1701"/>
        <w:tab w:val="right" w:leader="dot" w:pos="9299"/>
      </w:tabs>
      <w:spacing w:before="180"/>
      <w:ind w:left="1701" w:right="567" w:hanging="1701"/>
      <w:jc w:val="left"/>
    </w:pPr>
    <w:rPr>
      <w:noProof/>
      <w:szCs w:val="28"/>
    </w:rPr>
  </w:style>
  <w:style w:type="character" w:styleId="CommentReference">
    <w:name w:val="annotation reference"/>
    <w:uiPriority w:val="99"/>
    <w:semiHidden/>
    <w:rPr>
      <w:sz w:val="16"/>
      <w:szCs w:val="16"/>
    </w:rPr>
  </w:style>
  <w:style w:type="paragraph" w:styleId="Quote">
    <w:name w:val="Quote"/>
    <w:basedOn w:val="Normal"/>
    <w:next w:val="Normal"/>
    <w:link w:val="QuoteChar"/>
    <w:autoRedefine/>
    <w:uiPriority w:val="29"/>
    <w:qFormat/>
    <w:pPr>
      <w:spacing w:line="240" w:lineRule="auto"/>
      <w:ind w:left="425" w:right="425"/>
    </w:pPr>
    <w:rPr>
      <w:iCs/>
      <w:color w:val="000000"/>
      <w:sz w:val="22"/>
      <w:lang w:eastAsia="en-ZA"/>
    </w:rPr>
  </w:style>
  <w:style w:type="character" w:customStyle="1" w:styleId="QuoteChar">
    <w:name w:val="Quote Char"/>
    <w:link w:val="Quote"/>
    <w:uiPriority w:val="29"/>
    <w:rPr>
      <w:rFonts w:ascii="Arial" w:hAnsi="Arial"/>
      <w:iCs/>
      <w:color w:val="000000"/>
      <w:sz w:val="22"/>
      <w:lang w:val="en-GB"/>
    </w:rPr>
  </w:style>
  <w:style w:type="paragraph" w:customStyle="1" w:styleId="ListNumberRoman">
    <w:name w:val="List Number Roman"/>
    <w:basedOn w:val="Normal"/>
    <w:semiHidden/>
    <w:qFormat/>
    <w:pPr>
      <w:numPr>
        <w:numId w:val="21"/>
      </w:numPr>
      <w:spacing w:line="240" w:lineRule="auto"/>
    </w:pPr>
  </w:style>
  <w:style w:type="paragraph" w:customStyle="1" w:styleId="ListNumberAlfabet">
    <w:name w:val="List Number Alfabet"/>
    <w:basedOn w:val="Normal"/>
    <w:semiHidden/>
    <w:qFormat/>
    <w:pPr>
      <w:numPr>
        <w:numId w:val="22"/>
      </w:numPr>
      <w:spacing w:line="240" w:lineRule="auto"/>
    </w:pPr>
  </w:style>
  <w:style w:type="paragraph" w:customStyle="1" w:styleId="ListNumberRomanBrackets">
    <w:name w:val="List_Number_Roman_Brackets"/>
    <w:basedOn w:val="Normal"/>
    <w:qFormat/>
    <w:pPr>
      <w:numPr>
        <w:numId w:val="23"/>
      </w:numPr>
      <w:ind w:left="1134"/>
    </w:pPr>
  </w:style>
  <w:style w:type="paragraph" w:customStyle="1" w:styleId="ListNumberAlfabetBrackets">
    <w:name w:val="List_Number_Alfabet_Brackets"/>
    <w:basedOn w:val="Normal"/>
    <w:qFormat/>
    <w:pPr>
      <w:numPr>
        <w:numId w:val="25"/>
      </w:numPr>
    </w:pPr>
  </w:style>
  <w:style w:type="paragraph" w:styleId="ListParagraph">
    <w:name w:val="List Paragraph"/>
    <w:basedOn w:val="Normal"/>
    <w:uiPriority w:val="34"/>
    <w:semiHidden/>
    <w:qFormat/>
    <w:pPr>
      <w:ind w:left="720"/>
    </w:pPr>
  </w:style>
  <w:style w:type="paragraph" w:styleId="Caption">
    <w:name w:val="caption"/>
    <w:basedOn w:val="Normal"/>
    <w:next w:val="Normal"/>
    <w:uiPriority w:val="35"/>
    <w:semiHidden/>
    <w:qFormat/>
    <w:pPr>
      <w:spacing w:after="200" w:line="240" w:lineRule="auto"/>
    </w:pPr>
    <w:rPr>
      <w:b/>
      <w:bCs/>
      <w:color w:val="4F81BD"/>
      <w:sz w:val="18"/>
      <w:szCs w:val="18"/>
    </w:rPr>
  </w:style>
  <w:style w:type="paragraph" w:customStyle="1" w:styleId="Abbreviation">
    <w:name w:val="Abbreviation"/>
    <w:basedOn w:val="Normal"/>
    <w:qFormat/>
    <w:pPr>
      <w:tabs>
        <w:tab w:val="left" w:pos="2835"/>
      </w:tabs>
      <w:spacing w:line="240" w:lineRule="auto"/>
      <w:ind w:left="2835" w:hanging="2835"/>
    </w:pPr>
  </w:style>
  <w:style w:type="paragraph" w:customStyle="1" w:styleId="TableBody">
    <w:name w:val="Table_Body"/>
    <w:basedOn w:val="Normal"/>
    <w:qFormat/>
    <w:pPr>
      <w:spacing w:before="60" w:after="60" w:line="240" w:lineRule="auto"/>
      <w:jc w:val="left"/>
    </w:pPr>
  </w:style>
  <w:style w:type="paragraph" w:styleId="Bibliography">
    <w:name w:val="Bibliography"/>
    <w:basedOn w:val="Normal"/>
    <w:next w:val="Normal"/>
    <w:uiPriority w:val="37"/>
    <w:pPr>
      <w:spacing w:after="0"/>
      <w:ind w:left="720" w:hanging="720"/>
    </w:pPr>
  </w:style>
  <w:style w:type="paragraph" w:styleId="BalloonText">
    <w:name w:val="Balloon Text"/>
    <w:basedOn w:val="Normal"/>
    <w:link w:val="BalloonTextChar"/>
    <w:uiPriority w:val="99"/>
    <w:semiHidden/>
    <w:locked/>
    <w:pPr>
      <w:spacing w:after="0" w:line="240" w:lineRule="auto"/>
    </w:pPr>
    <w:rPr>
      <w:rFonts w:cs="Tahoma"/>
      <w:sz w:val="16"/>
      <w:szCs w:val="16"/>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character" w:customStyle="1" w:styleId="EndnoteTextChar">
    <w:name w:val="Endnote Text Char"/>
    <w:link w:val="EndnoteText"/>
    <w:uiPriority w:val="99"/>
    <w:semiHidden/>
    <w:rPr>
      <w:rFonts w:ascii="Arial" w:hAnsi="Arial"/>
      <w:lang w:val="en-GB" w:eastAsia="en-US"/>
    </w:rPr>
  </w:style>
  <w:style w:type="character" w:customStyle="1" w:styleId="ClosingChar">
    <w:name w:val="Closing Char"/>
    <w:basedOn w:val="DefaultParagraphFont"/>
    <w:link w:val="Closing"/>
    <w:semiHidden/>
    <w:rPr>
      <w:rFonts w:ascii="Arial" w:hAnsi="Arial"/>
      <w:sz w:val="24"/>
      <w:lang w:val="en-GB" w:eastAsia="en-US"/>
    </w:rPr>
  </w:style>
  <w:style w:type="character" w:customStyle="1" w:styleId="SignatureChar">
    <w:name w:val="Signature Char"/>
    <w:basedOn w:val="DefaultParagraphFont"/>
    <w:link w:val="Signature"/>
    <w:semiHidden/>
    <w:rPr>
      <w:rFonts w:ascii="Arial" w:hAnsi="Arial"/>
      <w:sz w:val="24"/>
      <w:lang w:val="en-GB" w:eastAsia="en-US"/>
    </w:rPr>
  </w:style>
  <w:style w:type="paragraph" w:styleId="BodyText">
    <w:name w:val="Body Text"/>
    <w:basedOn w:val="Normal"/>
    <w:link w:val="BodyTextChar"/>
    <w:semiHidden/>
    <w:pPr>
      <w:spacing w:after="120"/>
    </w:pPr>
  </w:style>
  <w:style w:type="character" w:customStyle="1" w:styleId="BodyTextChar">
    <w:name w:val="Body Text Char"/>
    <w:basedOn w:val="DefaultParagraphFont"/>
    <w:link w:val="BodyText"/>
    <w:semiHidden/>
    <w:rPr>
      <w:rFonts w:ascii="Arial" w:hAnsi="Arial"/>
      <w:sz w:val="24"/>
      <w:lang w:val="en-GB" w:eastAsia="en-US"/>
    </w:rPr>
  </w:style>
  <w:style w:type="character" w:customStyle="1" w:styleId="BodyTextIndentChar">
    <w:name w:val="Body Text Indent Char"/>
    <w:basedOn w:val="DefaultParagraphFont"/>
    <w:link w:val="BodyTextIndent"/>
    <w:semiHidden/>
    <w:rPr>
      <w:rFonts w:ascii="Arial" w:hAnsi="Arial"/>
      <w:sz w:val="24"/>
      <w:lang w:val="en-GB" w:eastAsia="en-US"/>
    </w:rPr>
  </w:style>
  <w:style w:type="character" w:customStyle="1" w:styleId="MessageHeaderChar">
    <w:name w:val="Message Header Char"/>
    <w:basedOn w:val="DefaultParagraphFont"/>
    <w:link w:val="MessageHeader"/>
    <w:semiHidden/>
    <w:rPr>
      <w:rFonts w:ascii="Arial" w:hAnsi="Arial" w:cs="Arial"/>
      <w:sz w:val="24"/>
      <w:szCs w:val="24"/>
      <w:shd w:val="pct20" w:color="auto" w:fill="auto"/>
      <w:lang w:val="en-GB" w:eastAsia="en-US"/>
    </w:rPr>
  </w:style>
  <w:style w:type="character" w:customStyle="1" w:styleId="SalutationChar">
    <w:name w:val="Salutation Char"/>
    <w:basedOn w:val="DefaultParagraphFont"/>
    <w:link w:val="Salutation"/>
    <w:semiHidden/>
    <w:rPr>
      <w:rFonts w:ascii="Arial" w:hAnsi="Arial"/>
      <w:sz w:val="24"/>
      <w:lang w:val="en-GB" w:eastAsia="en-US"/>
    </w:rPr>
  </w:style>
  <w:style w:type="character" w:customStyle="1" w:styleId="DateChar">
    <w:name w:val="Date Char"/>
    <w:basedOn w:val="DefaultParagraphFont"/>
    <w:link w:val="Date"/>
    <w:semiHidden/>
    <w:rPr>
      <w:rFonts w:ascii="Arial" w:hAnsi="Arial"/>
      <w:sz w:val="24"/>
      <w:lang w:val="en-GB" w:eastAsia="en-US"/>
    </w:rPr>
  </w:style>
  <w:style w:type="character" w:customStyle="1" w:styleId="BodyTextFirstIndentChar">
    <w:name w:val="Body Text First Indent Char"/>
    <w:basedOn w:val="BodyTextChar"/>
    <w:link w:val="BodyTextFirstIndent"/>
    <w:semiHidden/>
    <w:rPr>
      <w:rFonts w:ascii="Arial" w:hAnsi="Arial"/>
      <w:sz w:val="24"/>
      <w:lang w:val="en-GB" w:eastAsia="en-US"/>
    </w:rPr>
  </w:style>
  <w:style w:type="character" w:customStyle="1" w:styleId="BodyTextFirstIndent2Char">
    <w:name w:val="Body Text First Indent 2 Char"/>
    <w:basedOn w:val="BodyTextIndentChar"/>
    <w:link w:val="BodyTextFirstIndent2"/>
    <w:semiHidden/>
    <w:rPr>
      <w:rFonts w:ascii="Arial" w:hAnsi="Arial"/>
      <w:sz w:val="24"/>
      <w:lang w:val="en-GB" w:eastAsia="en-US"/>
    </w:rPr>
  </w:style>
  <w:style w:type="character" w:customStyle="1" w:styleId="NoteHeadingChar">
    <w:name w:val="Note Heading Char"/>
    <w:basedOn w:val="DefaultParagraphFont"/>
    <w:link w:val="NoteHeading"/>
    <w:semiHidden/>
    <w:rPr>
      <w:rFonts w:ascii="Arial" w:hAnsi="Arial"/>
      <w:sz w:val="24"/>
      <w:lang w:val="en-GB" w:eastAsia="en-US"/>
    </w:rPr>
  </w:style>
  <w:style w:type="character" w:customStyle="1" w:styleId="BodyText2Char">
    <w:name w:val="Body Text 2 Char"/>
    <w:basedOn w:val="DefaultParagraphFont"/>
    <w:link w:val="BodyText2"/>
    <w:semiHidden/>
    <w:rPr>
      <w:rFonts w:ascii="Arial" w:hAnsi="Arial"/>
      <w:sz w:val="24"/>
      <w:lang w:val="en-GB" w:eastAsia="en-US"/>
    </w:rPr>
  </w:style>
  <w:style w:type="character" w:customStyle="1" w:styleId="BodyText3Char">
    <w:name w:val="Body Text 3 Char"/>
    <w:basedOn w:val="DefaultParagraphFont"/>
    <w:link w:val="BodyText3"/>
    <w:semiHidden/>
    <w:rPr>
      <w:rFonts w:ascii="Arial" w:hAnsi="Arial"/>
      <w:sz w:val="16"/>
      <w:szCs w:val="16"/>
      <w:lang w:val="en-GB" w:eastAsia="en-US"/>
    </w:rPr>
  </w:style>
  <w:style w:type="character" w:customStyle="1" w:styleId="BodyTextIndent2Char">
    <w:name w:val="Body Text Indent 2 Char"/>
    <w:basedOn w:val="DefaultParagraphFont"/>
    <w:link w:val="BodyTextIndent2"/>
    <w:semiHidden/>
    <w:rPr>
      <w:rFonts w:ascii="Arial" w:hAnsi="Arial"/>
      <w:sz w:val="24"/>
      <w:lang w:val="en-GB" w:eastAsia="en-US"/>
    </w:rPr>
  </w:style>
  <w:style w:type="character" w:customStyle="1" w:styleId="BodyTextIndent3Char">
    <w:name w:val="Body Text Indent 3 Char"/>
    <w:basedOn w:val="DefaultParagraphFont"/>
    <w:link w:val="BodyTextIndent3"/>
    <w:semiHidden/>
    <w:rPr>
      <w:rFonts w:ascii="Arial" w:hAnsi="Arial"/>
      <w:sz w:val="16"/>
      <w:szCs w:val="16"/>
      <w:lang w:val="en-GB" w:eastAsia="en-US"/>
    </w:rPr>
  </w:style>
  <w:style w:type="character" w:customStyle="1" w:styleId="PlainTextChar">
    <w:name w:val="Plain Text Char"/>
    <w:basedOn w:val="DefaultParagraphFont"/>
    <w:link w:val="PlainText"/>
    <w:semiHidden/>
    <w:rPr>
      <w:rFonts w:ascii="Courier New" w:hAnsi="Courier New" w:cs="Courier New"/>
      <w:sz w:val="24"/>
      <w:lang w:val="en-GB" w:eastAsia="en-US"/>
    </w:rPr>
  </w:style>
  <w:style w:type="paragraph" w:styleId="Title">
    <w:name w:val="Title"/>
    <w:basedOn w:val="Normal"/>
    <w:next w:val="Normal"/>
    <w:link w:val="TitleChar"/>
    <w:semiHidden/>
    <w:qFormat/>
    <w:pPr>
      <w:spacing w:after="0" w:line="240" w:lineRule="auto"/>
      <w:contextualSpacing/>
      <w:jc w:val="center"/>
    </w:pPr>
    <w:rPr>
      <w:rFonts w:eastAsiaTheme="majorEastAsia" w:cstheme="majorBidi"/>
      <w:b/>
      <w:color w:val="17365D" w:themeColor="text2" w:themeShade="BF"/>
      <w:spacing w:val="5"/>
      <w:kern w:val="28"/>
      <w:sz w:val="48"/>
      <w:szCs w:val="52"/>
      <w:lang w:val="en-ZA"/>
    </w:rPr>
  </w:style>
  <w:style w:type="character" w:customStyle="1" w:styleId="TitleChar">
    <w:name w:val="Title Char"/>
    <w:basedOn w:val="DefaultParagraphFont"/>
    <w:link w:val="Title"/>
    <w:semiHidden/>
    <w:rPr>
      <w:rFonts w:ascii="Arial" w:eastAsiaTheme="majorEastAsia" w:hAnsi="Arial" w:cstheme="majorBidi"/>
      <w:b/>
      <w:color w:val="17365D" w:themeColor="text2" w:themeShade="BF"/>
      <w:spacing w:val="5"/>
      <w:kern w:val="28"/>
      <w:sz w:val="48"/>
      <w:szCs w:val="52"/>
      <w:lang w:eastAsia="en-US"/>
    </w:rPr>
  </w:style>
  <w:style w:type="paragraph" w:customStyle="1" w:styleId="Dessertation">
    <w:name w:val="Dessertation"/>
    <w:basedOn w:val="Normal"/>
    <w:semiHidden/>
    <w:qFormat/>
    <w:pPr>
      <w:spacing w:after="0" w:line="240" w:lineRule="auto"/>
      <w:jc w:val="center"/>
    </w:pPr>
    <w:rPr>
      <w:sz w:val="34"/>
      <w:szCs w:val="32"/>
      <w:lang w:val="en-US"/>
    </w:rPr>
  </w:style>
  <w:style w:type="paragraph" w:customStyle="1" w:styleId="Month">
    <w:name w:val="Month"/>
    <w:basedOn w:val="Normal"/>
    <w:semiHidden/>
    <w:qFormat/>
    <w:pPr>
      <w:spacing w:after="120" w:line="240" w:lineRule="auto"/>
      <w:jc w:val="left"/>
    </w:pPr>
    <w:rPr>
      <w:sz w:val="34"/>
      <w:szCs w:val="34"/>
      <w:lang w:val="en-US"/>
    </w:rPr>
  </w:style>
  <w:style w:type="paragraph" w:customStyle="1" w:styleId="BibliographyUnder">
    <w:name w:val="Bibliography Under"/>
    <w:basedOn w:val="Bibliography"/>
    <w:qFormat/>
    <w:pPr>
      <w:spacing w:after="240"/>
      <w:ind w:firstLine="0"/>
    </w:pPr>
  </w:style>
  <w:style w:type="paragraph" w:customStyle="1" w:styleId="NormalHeader">
    <w:name w:val="Normal Header"/>
    <w:basedOn w:val="Normal"/>
    <w:qFormat/>
    <w:pPr>
      <w:keepNext/>
      <w:jc w:val="left"/>
    </w:pPr>
    <w:rPr>
      <w:b/>
    </w:rPr>
  </w:style>
  <w:style w:type="paragraph" w:customStyle="1" w:styleId="NormalHeaderItalic">
    <w:name w:val="Normal Header Italic"/>
    <w:basedOn w:val="NormalHeader"/>
    <w:qFormat/>
    <w:rPr>
      <w:i/>
    </w:rPr>
  </w:style>
  <w:style w:type="paragraph" w:customStyle="1" w:styleId="Chapter">
    <w:name w:val="Chapter"/>
    <w:basedOn w:val="TOCHeading0"/>
    <w:qFormat/>
    <w:rPr>
      <w:caps w:val="0"/>
    </w:rPr>
  </w:style>
  <w:style w:type="character" w:customStyle="1" w:styleId="Heading1Char">
    <w:name w:val="Heading 1 Char"/>
    <w:basedOn w:val="DefaultParagraphFont"/>
    <w:link w:val="Heading1"/>
    <w:rPr>
      <w:rFonts w:ascii="Tahoma" w:hAnsi="Tahoma" w:cs="Tahoma"/>
      <w:b/>
      <w:bCs/>
      <w:kern w:val="32"/>
      <w:sz w:val="24"/>
      <w:szCs w:val="24"/>
      <w:lang w:val="en-GB"/>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rFonts w:ascii="Tahoma" w:hAnsi="Tahoma"/>
      <w:lang w:val="en-GB"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ahoma" w:hAnsi="Tahoma"/>
      <w:b/>
      <w:bCs/>
      <w:lang w:val="en-GB" w:eastAsia="en-US"/>
    </w:rPr>
  </w:style>
  <w:style w:type="character" w:customStyle="1" w:styleId="apple-tab-span">
    <w:name w:val="apple-tab-span"/>
    <w:basedOn w:val="DefaultParagraphFont"/>
    <w:rsid w:val="001E0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571499">
      <w:bodyDiv w:val="1"/>
      <w:marLeft w:val="0"/>
      <w:marRight w:val="0"/>
      <w:marTop w:val="0"/>
      <w:marBottom w:val="0"/>
      <w:divBdr>
        <w:top w:val="none" w:sz="0" w:space="0" w:color="auto"/>
        <w:left w:val="none" w:sz="0" w:space="0" w:color="auto"/>
        <w:bottom w:val="none" w:sz="0" w:space="0" w:color="auto"/>
        <w:right w:val="none" w:sz="0" w:space="0" w:color="auto"/>
      </w:divBdr>
    </w:div>
    <w:div w:id="47156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16387\Downloads\Proposal%20Law%202018.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26D0C-3E11-4078-AF00-923C28F3A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 Law 2018</Template>
  <TotalTime>27</TotalTime>
  <Pages>9</Pages>
  <Words>2278</Words>
  <Characters>12987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NWU</Company>
  <LinksUpToDate>false</LinksUpToDate>
  <CharactersWithSpaces>15235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10516387</dc:creator>
  <cp:lastModifiedBy>Riëtte Heyns</cp:lastModifiedBy>
  <cp:revision>9</cp:revision>
  <cp:lastPrinted>2013-02-25T06:57:00Z</cp:lastPrinted>
  <dcterms:created xsi:type="dcterms:W3CDTF">2021-05-09T13:11:00Z</dcterms:created>
  <dcterms:modified xsi:type="dcterms:W3CDTF">2021-05-09T16:45:00Z</dcterms:modified>
</cp:coreProperties>
</file>