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B5A1C" w14:textId="77777777" w:rsidR="005F3ADE" w:rsidRPr="00DA42EE" w:rsidRDefault="005F3ADE" w:rsidP="00BC1975">
      <w:pPr>
        <w:pStyle w:val="Title"/>
        <w:jc w:val="both"/>
        <w:rPr>
          <w:color w:val="auto"/>
          <w:sz w:val="32"/>
          <w:szCs w:val="36"/>
        </w:rPr>
      </w:pPr>
    </w:p>
    <w:p w14:paraId="5B9CC7FA" w14:textId="77777777" w:rsidR="005F3ADE" w:rsidRDefault="00BC1975">
      <w:pPr>
        <w:pStyle w:val="Title"/>
        <w:ind w:firstLine="720"/>
        <w:rPr>
          <w:color w:val="auto"/>
        </w:rPr>
      </w:pPr>
      <w:r>
        <w:rPr>
          <w:noProof/>
          <w:lang w:eastAsia="en-ZA"/>
        </w:rPr>
        <w:drawing>
          <wp:inline distT="0" distB="0" distL="0" distR="0" wp14:anchorId="2A612899" wp14:editId="6C5F302C">
            <wp:extent cx="413385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33850" cy="1790700"/>
                    </a:xfrm>
                    <a:prstGeom prst="rect">
                      <a:avLst/>
                    </a:prstGeom>
                  </pic:spPr>
                </pic:pic>
              </a:graphicData>
            </a:graphic>
          </wp:inline>
        </w:drawing>
      </w:r>
    </w:p>
    <w:p w14:paraId="28B09990" w14:textId="77777777" w:rsidR="005F3ADE" w:rsidRPr="00D12931" w:rsidRDefault="00D12931" w:rsidP="00EE061E">
      <w:pPr>
        <w:pStyle w:val="Title"/>
        <w:rPr>
          <w:color w:val="auto"/>
          <w:u w:val="single"/>
        </w:rPr>
      </w:pPr>
      <w:r w:rsidRPr="00D12931">
        <w:rPr>
          <w:color w:val="auto"/>
          <w:u w:val="single"/>
        </w:rPr>
        <w:t>PGDIP IN MANAGEMENT</w:t>
      </w:r>
    </w:p>
    <w:p w14:paraId="19FFF7B1" w14:textId="77777777" w:rsidR="005F3ADE" w:rsidRDefault="005F3ADE" w:rsidP="00BC1975">
      <w:pPr>
        <w:pStyle w:val="Title"/>
        <w:ind w:firstLine="720"/>
        <w:jc w:val="both"/>
        <w:rPr>
          <w:color w:val="auto"/>
        </w:rPr>
      </w:pPr>
    </w:p>
    <w:p w14:paraId="196FF2E6" w14:textId="76C61C72" w:rsidR="00EE061E" w:rsidRPr="00EE061E" w:rsidRDefault="00012226" w:rsidP="00EE061E">
      <w:pPr>
        <w:pStyle w:val="Title"/>
        <w:rPr>
          <w:color w:val="auto"/>
        </w:rPr>
      </w:pPr>
      <w:r>
        <w:rPr>
          <w:color w:val="auto"/>
        </w:rPr>
        <w:t>Labour Court Case Discussion</w:t>
      </w:r>
    </w:p>
    <w:p w14:paraId="772E8838" w14:textId="77777777" w:rsidR="00BC1975" w:rsidRPr="00BC1975" w:rsidRDefault="00BC1975" w:rsidP="00BC1975"/>
    <w:p w14:paraId="4F2CD457" w14:textId="201D6859" w:rsidR="00BC1975" w:rsidRPr="00BC1975" w:rsidRDefault="00012226" w:rsidP="00040C57">
      <w:pPr>
        <w:spacing w:after="120"/>
        <w:jc w:val="center"/>
        <w:rPr>
          <w:b/>
          <w:sz w:val="40"/>
        </w:rPr>
      </w:pPr>
      <w:r>
        <w:rPr>
          <w:b/>
          <w:sz w:val="40"/>
        </w:rPr>
        <w:t>BLLR 511</w:t>
      </w:r>
    </w:p>
    <w:p w14:paraId="3816674C" w14:textId="5BF905FF" w:rsidR="00BC1975" w:rsidRPr="00012226" w:rsidRDefault="00012226" w:rsidP="00040C57">
      <w:pPr>
        <w:spacing w:after="120"/>
        <w:jc w:val="center"/>
        <w:rPr>
          <w:b/>
          <w:sz w:val="40"/>
        </w:rPr>
      </w:pPr>
      <w:r>
        <w:rPr>
          <w:b/>
          <w:sz w:val="40"/>
        </w:rPr>
        <w:t>Prof. Christoff Botha</w:t>
      </w:r>
    </w:p>
    <w:p w14:paraId="13602842" w14:textId="4C362A54" w:rsidR="00BC1975" w:rsidRDefault="00EE061E">
      <w:pPr>
        <w:spacing w:after="120"/>
        <w:jc w:val="center"/>
        <w:rPr>
          <w:b/>
          <w:sz w:val="36"/>
          <w:szCs w:val="36"/>
        </w:rPr>
      </w:pPr>
      <w:r>
        <w:rPr>
          <w:b/>
          <w:sz w:val="32"/>
          <w:szCs w:val="36"/>
        </w:rPr>
        <w:t>Group 1</w:t>
      </w:r>
      <w:r w:rsidR="00040C57">
        <w:rPr>
          <w:b/>
          <w:sz w:val="32"/>
          <w:szCs w:val="36"/>
        </w:rPr>
        <w:t>:</w:t>
      </w:r>
    </w:p>
    <w:tbl>
      <w:tblPr>
        <w:tblStyle w:val="TableGrid"/>
        <w:tblW w:w="0" w:type="auto"/>
        <w:tblLook w:val="04A0" w:firstRow="1" w:lastRow="0" w:firstColumn="1" w:lastColumn="0" w:noHBand="0" w:noVBand="1"/>
      </w:tblPr>
      <w:tblGrid>
        <w:gridCol w:w="3115"/>
        <w:gridCol w:w="3115"/>
        <w:gridCol w:w="3115"/>
      </w:tblGrid>
      <w:tr w:rsidR="00BC1975" w:rsidRPr="00BC1975" w14:paraId="7C6F5C37" w14:textId="77777777" w:rsidTr="00BC1975">
        <w:tc>
          <w:tcPr>
            <w:tcW w:w="3115" w:type="dxa"/>
          </w:tcPr>
          <w:p w14:paraId="6AF514F6" w14:textId="77777777" w:rsidR="00BC1975" w:rsidRPr="00BC1975" w:rsidRDefault="00BC1975">
            <w:pPr>
              <w:jc w:val="center"/>
              <w:rPr>
                <w:b/>
                <w:sz w:val="32"/>
                <w:szCs w:val="36"/>
              </w:rPr>
            </w:pPr>
            <w:r w:rsidRPr="00BC1975">
              <w:rPr>
                <w:b/>
                <w:sz w:val="32"/>
                <w:szCs w:val="36"/>
              </w:rPr>
              <w:t>Surname</w:t>
            </w:r>
          </w:p>
        </w:tc>
        <w:tc>
          <w:tcPr>
            <w:tcW w:w="3115" w:type="dxa"/>
          </w:tcPr>
          <w:p w14:paraId="573208EB" w14:textId="77777777" w:rsidR="00BC1975" w:rsidRPr="00BC1975" w:rsidRDefault="00BC1975">
            <w:pPr>
              <w:jc w:val="center"/>
              <w:rPr>
                <w:b/>
                <w:sz w:val="32"/>
                <w:szCs w:val="36"/>
              </w:rPr>
            </w:pPr>
            <w:r w:rsidRPr="00BC1975">
              <w:rPr>
                <w:b/>
                <w:sz w:val="32"/>
                <w:szCs w:val="36"/>
              </w:rPr>
              <w:t>Initials</w:t>
            </w:r>
          </w:p>
        </w:tc>
        <w:tc>
          <w:tcPr>
            <w:tcW w:w="3115" w:type="dxa"/>
          </w:tcPr>
          <w:p w14:paraId="358CFA69" w14:textId="77777777" w:rsidR="00BC1975" w:rsidRPr="00BC1975" w:rsidRDefault="00BC1975">
            <w:pPr>
              <w:jc w:val="center"/>
              <w:rPr>
                <w:b/>
                <w:sz w:val="32"/>
                <w:szCs w:val="36"/>
              </w:rPr>
            </w:pPr>
            <w:r w:rsidRPr="00BC1975">
              <w:rPr>
                <w:b/>
                <w:sz w:val="32"/>
                <w:szCs w:val="36"/>
              </w:rPr>
              <w:t>Student number</w:t>
            </w:r>
          </w:p>
        </w:tc>
      </w:tr>
      <w:tr w:rsidR="00BC1975" w:rsidRPr="00BC1975" w14:paraId="0540EC65" w14:textId="77777777" w:rsidTr="00BC1975">
        <w:tc>
          <w:tcPr>
            <w:tcW w:w="3115" w:type="dxa"/>
          </w:tcPr>
          <w:p w14:paraId="754C4781" w14:textId="58EC3FF6" w:rsidR="00DA42EE" w:rsidRDefault="00DA42EE" w:rsidP="00DA42EE">
            <w:pPr>
              <w:jc w:val="center"/>
              <w:rPr>
                <w:b/>
                <w:sz w:val="32"/>
                <w:szCs w:val="36"/>
              </w:rPr>
            </w:pPr>
            <w:r>
              <w:rPr>
                <w:b/>
                <w:sz w:val="32"/>
                <w:szCs w:val="36"/>
              </w:rPr>
              <w:t>Agbo</w:t>
            </w:r>
          </w:p>
          <w:p w14:paraId="11B7E071" w14:textId="1C1755D3" w:rsidR="00DA42EE" w:rsidRDefault="00EE061E" w:rsidP="00DF6B03">
            <w:pPr>
              <w:jc w:val="center"/>
              <w:rPr>
                <w:b/>
                <w:sz w:val="32"/>
                <w:szCs w:val="36"/>
              </w:rPr>
            </w:pPr>
            <w:r>
              <w:rPr>
                <w:b/>
                <w:sz w:val="32"/>
                <w:szCs w:val="36"/>
              </w:rPr>
              <w:t>Baa</w:t>
            </w:r>
            <w:r w:rsidR="00DA42EE">
              <w:rPr>
                <w:b/>
                <w:sz w:val="32"/>
                <w:szCs w:val="36"/>
              </w:rPr>
              <w:t>rtzes</w:t>
            </w:r>
          </w:p>
          <w:p w14:paraId="0E73A562" w14:textId="77777777" w:rsidR="00DA42EE" w:rsidRDefault="00DA42EE">
            <w:pPr>
              <w:jc w:val="center"/>
              <w:rPr>
                <w:b/>
                <w:sz w:val="32"/>
                <w:szCs w:val="36"/>
              </w:rPr>
            </w:pPr>
            <w:r>
              <w:rPr>
                <w:b/>
                <w:sz w:val="32"/>
                <w:szCs w:val="36"/>
              </w:rPr>
              <w:t>Beukes</w:t>
            </w:r>
          </w:p>
          <w:p w14:paraId="75433DE6" w14:textId="77777777" w:rsidR="00DA42EE" w:rsidRDefault="00DA42EE">
            <w:pPr>
              <w:jc w:val="center"/>
              <w:rPr>
                <w:b/>
                <w:sz w:val="32"/>
                <w:szCs w:val="36"/>
              </w:rPr>
            </w:pPr>
            <w:r>
              <w:rPr>
                <w:b/>
                <w:sz w:val="32"/>
                <w:szCs w:val="36"/>
              </w:rPr>
              <w:t>Bhooshun</w:t>
            </w:r>
          </w:p>
          <w:p w14:paraId="5CBE4E79" w14:textId="60B48D06" w:rsidR="00DF6B03" w:rsidRDefault="00DF6B03" w:rsidP="00DF6B03">
            <w:pPr>
              <w:jc w:val="center"/>
              <w:rPr>
                <w:b/>
                <w:sz w:val="32"/>
                <w:szCs w:val="36"/>
              </w:rPr>
            </w:pPr>
            <w:r>
              <w:rPr>
                <w:b/>
                <w:sz w:val="32"/>
                <w:szCs w:val="36"/>
              </w:rPr>
              <w:t>Bidi</w:t>
            </w:r>
          </w:p>
          <w:p w14:paraId="5279E979" w14:textId="07B8EF3B" w:rsidR="00DA42EE" w:rsidRDefault="00DA42EE" w:rsidP="00DF6B03">
            <w:pPr>
              <w:jc w:val="center"/>
              <w:rPr>
                <w:b/>
                <w:sz w:val="32"/>
                <w:szCs w:val="36"/>
              </w:rPr>
            </w:pPr>
            <w:r>
              <w:rPr>
                <w:b/>
                <w:sz w:val="32"/>
                <w:szCs w:val="36"/>
              </w:rPr>
              <w:t>Biermann</w:t>
            </w:r>
          </w:p>
          <w:p w14:paraId="79DFA779" w14:textId="77777777" w:rsidR="00DA42EE" w:rsidRDefault="00DA42EE">
            <w:pPr>
              <w:jc w:val="center"/>
              <w:rPr>
                <w:b/>
                <w:sz w:val="32"/>
                <w:szCs w:val="36"/>
              </w:rPr>
            </w:pPr>
            <w:r>
              <w:rPr>
                <w:b/>
                <w:sz w:val="32"/>
                <w:szCs w:val="36"/>
              </w:rPr>
              <w:t>Bleazard</w:t>
            </w:r>
          </w:p>
          <w:p w14:paraId="5731B486" w14:textId="30547C59" w:rsidR="00DA42EE" w:rsidRPr="00BC1975" w:rsidRDefault="00DA42EE">
            <w:pPr>
              <w:jc w:val="center"/>
              <w:rPr>
                <w:b/>
                <w:sz w:val="32"/>
                <w:szCs w:val="36"/>
              </w:rPr>
            </w:pPr>
            <w:r>
              <w:rPr>
                <w:b/>
                <w:sz w:val="32"/>
                <w:szCs w:val="36"/>
              </w:rPr>
              <w:t>Boemo</w:t>
            </w:r>
          </w:p>
        </w:tc>
        <w:tc>
          <w:tcPr>
            <w:tcW w:w="3115" w:type="dxa"/>
          </w:tcPr>
          <w:p w14:paraId="3FB9FAB8" w14:textId="2AA809B7" w:rsidR="00DA42EE" w:rsidRDefault="00DF6B03" w:rsidP="00DA42EE">
            <w:pPr>
              <w:jc w:val="center"/>
              <w:rPr>
                <w:b/>
                <w:sz w:val="32"/>
                <w:szCs w:val="36"/>
              </w:rPr>
            </w:pPr>
            <w:r>
              <w:rPr>
                <w:b/>
                <w:sz w:val="32"/>
                <w:szCs w:val="36"/>
              </w:rPr>
              <w:t>HC</w:t>
            </w:r>
          </w:p>
          <w:p w14:paraId="40E9DBAA" w14:textId="464439F2" w:rsidR="00DA42EE" w:rsidRDefault="00EE061E" w:rsidP="00DF6B03">
            <w:pPr>
              <w:jc w:val="center"/>
              <w:rPr>
                <w:b/>
                <w:sz w:val="32"/>
                <w:szCs w:val="36"/>
              </w:rPr>
            </w:pPr>
            <w:r>
              <w:rPr>
                <w:b/>
                <w:sz w:val="32"/>
                <w:szCs w:val="36"/>
              </w:rPr>
              <w:t>T</w:t>
            </w:r>
          </w:p>
          <w:p w14:paraId="124FACF9" w14:textId="59C785B2" w:rsidR="00DA42EE" w:rsidRDefault="00DF6B03">
            <w:pPr>
              <w:jc w:val="center"/>
              <w:rPr>
                <w:b/>
                <w:sz w:val="32"/>
                <w:szCs w:val="36"/>
              </w:rPr>
            </w:pPr>
            <w:r>
              <w:rPr>
                <w:b/>
                <w:sz w:val="32"/>
                <w:szCs w:val="36"/>
              </w:rPr>
              <w:t>JE</w:t>
            </w:r>
          </w:p>
          <w:p w14:paraId="6ECAEBD5" w14:textId="5DD34F0A" w:rsidR="00DA42EE" w:rsidRDefault="00DF6B03">
            <w:pPr>
              <w:jc w:val="center"/>
              <w:rPr>
                <w:b/>
                <w:sz w:val="32"/>
                <w:szCs w:val="36"/>
              </w:rPr>
            </w:pPr>
            <w:r>
              <w:rPr>
                <w:b/>
                <w:sz w:val="32"/>
                <w:szCs w:val="36"/>
              </w:rPr>
              <w:t>D</w:t>
            </w:r>
          </w:p>
          <w:p w14:paraId="13CF1857" w14:textId="099305AF" w:rsidR="00DF6B03" w:rsidRDefault="00DF6B03" w:rsidP="00DF6B03">
            <w:pPr>
              <w:jc w:val="center"/>
              <w:rPr>
                <w:b/>
                <w:sz w:val="32"/>
                <w:szCs w:val="36"/>
              </w:rPr>
            </w:pPr>
            <w:r>
              <w:rPr>
                <w:b/>
                <w:sz w:val="32"/>
                <w:szCs w:val="36"/>
              </w:rPr>
              <w:t>K</w:t>
            </w:r>
          </w:p>
          <w:p w14:paraId="2278E51B" w14:textId="0BD55FF6" w:rsidR="00DA42EE" w:rsidRDefault="00DA42EE" w:rsidP="00DF6B03">
            <w:pPr>
              <w:jc w:val="center"/>
              <w:rPr>
                <w:b/>
                <w:sz w:val="32"/>
                <w:szCs w:val="36"/>
              </w:rPr>
            </w:pPr>
            <w:r>
              <w:rPr>
                <w:b/>
                <w:sz w:val="32"/>
                <w:szCs w:val="36"/>
              </w:rPr>
              <w:t>C</w:t>
            </w:r>
          </w:p>
          <w:p w14:paraId="64247E93" w14:textId="2715EF6A" w:rsidR="00DA42EE" w:rsidRDefault="00DA42EE">
            <w:pPr>
              <w:jc w:val="center"/>
              <w:rPr>
                <w:b/>
                <w:sz w:val="32"/>
                <w:szCs w:val="36"/>
              </w:rPr>
            </w:pPr>
            <w:r>
              <w:rPr>
                <w:b/>
                <w:sz w:val="32"/>
                <w:szCs w:val="36"/>
              </w:rPr>
              <w:t>L</w:t>
            </w:r>
            <w:r w:rsidR="006C6D29">
              <w:rPr>
                <w:b/>
                <w:sz w:val="32"/>
                <w:szCs w:val="36"/>
              </w:rPr>
              <w:t>R</w:t>
            </w:r>
          </w:p>
          <w:p w14:paraId="28E74CFA" w14:textId="38BABCDA" w:rsidR="00DF6B03" w:rsidRPr="00BC1975" w:rsidRDefault="00DF6B03">
            <w:pPr>
              <w:jc w:val="center"/>
              <w:rPr>
                <w:b/>
                <w:sz w:val="32"/>
                <w:szCs w:val="36"/>
              </w:rPr>
            </w:pPr>
            <w:r>
              <w:rPr>
                <w:b/>
                <w:sz w:val="32"/>
                <w:szCs w:val="36"/>
              </w:rPr>
              <w:t>BL</w:t>
            </w:r>
          </w:p>
        </w:tc>
        <w:tc>
          <w:tcPr>
            <w:tcW w:w="3115" w:type="dxa"/>
          </w:tcPr>
          <w:p w14:paraId="2F601311" w14:textId="6A89706D" w:rsidR="00DA42EE" w:rsidRDefault="00DA42EE" w:rsidP="00DA42EE">
            <w:pPr>
              <w:jc w:val="center"/>
              <w:rPr>
                <w:b/>
                <w:sz w:val="32"/>
                <w:szCs w:val="36"/>
              </w:rPr>
            </w:pPr>
            <w:r>
              <w:rPr>
                <w:b/>
                <w:sz w:val="32"/>
                <w:szCs w:val="36"/>
              </w:rPr>
              <w:t>40556395</w:t>
            </w:r>
          </w:p>
          <w:p w14:paraId="0BF03530" w14:textId="426FDEE4" w:rsidR="00040C57" w:rsidRDefault="00040C57" w:rsidP="00DF6B03">
            <w:pPr>
              <w:jc w:val="center"/>
              <w:rPr>
                <w:b/>
                <w:sz w:val="32"/>
                <w:szCs w:val="36"/>
              </w:rPr>
            </w:pPr>
            <w:r>
              <w:rPr>
                <w:b/>
                <w:sz w:val="32"/>
                <w:szCs w:val="36"/>
              </w:rPr>
              <w:t>39157040</w:t>
            </w:r>
          </w:p>
          <w:p w14:paraId="27EDC8D1" w14:textId="5660E237" w:rsidR="00040C57" w:rsidRDefault="00DA42EE">
            <w:pPr>
              <w:jc w:val="center"/>
              <w:rPr>
                <w:b/>
                <w:sz w:val="32"/>
                <w:szCs w:val="36"/>
              </w:rPr>
            </w:pPr>
            <w:r>
              <w:rPr>
                <w:b/>
                <w:sz w:val="32"/>
                <w:szCs w:val="36"/>
              </w:rPr>
              <w:t>2293</w:t>
            </w:r>
            <w:r w:rsidR="00DF6B03">
              <w:rPr>
                <w:b/>
                <w:sz w:val="32"/>
                <w:szCs w:val="36"/>
              </w:rPr>
              <w:t>2</w:t>
            </w:r>
            <w:r>
              <w:rPr>
                <w:b/>
                <w:sz w:val="32"/>
                <w:szCs w:val="36"/>
              </w:rPr>
              <w:t>356</w:t>
            </w:r>
          </w:p>
          <w:p w14:paraId="7413E805" w14:textId="3AB90818" w:rsidR="00DA42EE" w:rsidRDefault="00DA42EE" w:rsidP="00DA42EE">
            <w:pPr>
              <w:jc w:val="center"/>
              <w:rPr>
                <w:b/>
                <w:sz w:val="32"/>
                <w:szCs w:val="36"/>
              </w:rPr>
            </w:pPr>
            <w:r>
              <w:rPr>
                <w:b/>
                <w:sz w:val="32"/>
                <w:szCs w:val="36"/>
              </w:rPr>
              <w:t>40523896</w:t>
            </w:r>
          </w:p>
          <w:p w14:paraId="23BA6AE9" w14:textId="57E03A8E" w:rsidR="00DF6B03" w:rsidRDefault="00DF6B03" w:rsidP="00DF6B03">
            <w:pPr>
              <w:jc w:val="center"/>
              <w:rPr>
                <w:b/>
                <w:sz w:val="32"/>
                <w:szCs w:val="36"/>
              </w:rPr>
            </w:pPr>
            <w:r>
              <w:rPr>
                <w:b/>
                <w:sz w:val="32"/>
                <w:szCs w:val="36"/>
              </w:rPr>
              <w:t>40072649</w:t>
            </w:r>
          </w:p>
          <w:p w14:paraId="2C01DAC8" w14:textId="0AE58F62" w:rsidR="00040C57" w:rsidRDefault="00DA42EE" w:rsidP="00DF6B03">
            <w:pPr>
              <w:jc w:val="center"/>
              <w:rPr>
                <w:b/>
                <w:sz w:val="32"/>
                <w:szCs w:val="36"/>
              </w:rPr>
            </w:pPr>
            <w:r>
              <w:rPr>
                <w:b/>
                <w:sz w:val="32"/>
                <w:szCs w:val="36"/>
              </w:rPr>
              <w:t>26197804</w:t>
            </w:r>
          </w:p>
          <w:p w14:paraId="62243D24" w14:textId="325DB5E6" w:rsidR="00040C57" w:rsidRDefault="000C289D">
            <w:pPr>
              <w:jc w:val="center"/>
              <w:rPr>
                <w:b/>
                <w:sz w:val="32"/>
                <w:szCs w:val="36"/>
              </w:rPr>
            </w:pPr>
            <w:r>
              <w:rPr>
                <w:b/>
                <w:sz w:val="32"/>
                <w:szCs w:val="36"/>
              </w:rPr>
              <w:t>38503638</w:t>
            </w:r>
          </w:p>
          <w:p w14:paraId="4C80D38F" w14:textId="0B366701" w:rsidR="00040C57" w:rsidRPr="00BC1975" w:rsidRDefault="000C289D" w:rsidP="00DA42EE">
            <w:pPr>
              <w:jc w:val="center"/>
              <w:rPr>
                <w:b/>
                <w:sz w:val="32"/>
                <w:szCs w:val="36"/>
              </w:rPr>
            </w:pPr>
            <w:r>
              <w:rPr>
                <w:b/>
                <w:sz w:val="32"/>
                <w:szCs w:val="36"/>
              </w:rPr>
              <w:t>16975588</w:t>
            </w:r>
          </w:p>
        </w:tc>
      </w:tr>
    </w:tbl>
    <w:p w14:paraId="3803EEFA" w14:textId="77777777" w:rsidR="005F3ADE" w:rsidRDefault="005F3ADE">
      <w:pPr>
        <w:pStyle w:val="Month"/>
        <w:rPr>
          <w:sz w:val="32"/>
          <w:szCs w:val="32"/>
        </w:rPr>
      </w:pPr>
    </w:p>
    <w:p w14:paraId="648F9BCD" w14:textId="11CA700F" w:rsidR="00BC1975" w:rsidRPr="00040C57" w:rsidRDefault="008D5D1C" w:rsidP="00040C57">
      <w:pPr>
        <w:pStyle w:val="Month"/>
        <w:rPr>
          <w:sz w:val="32"/>
          <w:szCs w:val="32"/>
        </w:rPr>
      </w:pPr>
      <w:r>
        <w:rPr>
          <w:sz w:val="32"/>
          <w:szCs w:val="32"/>
        </w:rPr>
        <w:t xml:space="preserve">Date of submission: </w:t>
      </w:r>
      <w:r w:rsidR="00C3437C">
        <w:rPr>
          <w:sz w:val="32"/>
          <w:szCs w:val="32"/>
        </w:rPr>
        <w:t>10 May 2021</w:t>
      </w:r>
      <w:bookmarkStart w:id="0" w:name="_Toc322953584"/>
      <w:r w:rsidR="00BC1975">
        <w:br w:type="page"/>
      </w:r>
    </w:p>
    <w:p w14:paraId="74590101" w14:textId="562F6DAF" w:rsidR="005F3ADE" w:rsidRDefault="008D5D1C">
      <w:pPr>
        <w:pStyle w:val="Heading0"/>
      </w:pPr>
      <w:r>
        <w:lastRenderedPageBreak/>
        <w:t>Table of Contents</w:t>
      </w:r>
      <w:bookmarkEnd w:id="0"/>
    </w:p>
    <w:p w14:paraId="1E480F73" w14:textId="67AB924E" w:rsidR="00941BF2" w:rsidRDefault="008D5D1C">
      <w:pPr>
        <w:pStyle w:val="TOC8"/>
        <w:rPr>
          <w:rFonts w:asciiTheme="minorHAnsi" w:eastAsiaTheme="minorEastAsia" w:hAnsiTheme="minorHAnsi" w:cstheme="minorBidi"/>
          <w:b w:val="0"/>
          <w:caps w:val="0"/>
          <w:noProof/>
          <w:szCs w:val="24"/>
          <w:lang w:val="en-ZA" w:eastAsia="en-GB"/>
        </w:rPr>
      </w:pPr>
      <w:r w:rsidRPr="00FC237A">
        <w:rPr>
          <w:rFonts w:ascii="Arial" w:hAnsi="Arial" w:cs="Arial"/>
          <w:b w:val="0"/>
          <w:szCs w:val="22"/>
        </w:rPr>
        <w:fldChar w:fldCharType="begin"/>
      </w:r>
      <w:r w:rsidRPr="00FC237A">
        <w:rPr>
          <w:rFonts w:ascii="Arial" w:hAnsi="Arial" w:cs="Arial"/>
          <w:b w:val="0"/>
          <w:szCs w:val="22"/>
        </w:rPr>
        <w:instrText xml:space="preserve"> TOC \o "1-5" \h \z \t "TOC_Heading,8,Chapter,9" </w:instrText>
      </w:r>
      <w:r w:rsidRPr="00FC237A">
        <w:rPr>
          <w:rFonts w:ascii="Arial" w:hAnsi="Arial" w:cs="Arial"/>
          <w:b w:val="0"/>
          <w:szCs w:val="22"/>
        </w:rPr>
        <w:fldChar w:fldCharType="separate"/>
      </w:r>
      <w:hyperlink w:anchor="_Toc71276717" w:history="1">
        <w:r w:rsidR="00941BF2" w:rsidRPr="00541CCF">
          <w:rPr>
            <w:rStyle w:val="Hyperlink"/>
            <w:noProof/>
          </w:rPr>
          <w:t>LIST OF ABBREVIATIONS</w:t>
        </w:r>
        <w:r w:rsidR="00941BF2">
          <w:rPr>
            <w:noProof/>
            <w:webHidden/>
          </w:rPr>
          <w:tab/>
        </w:r>
        <w:r w:rsidR="00941BF2">
          <w:rPr>
            <w:noProof/>
            <w:webHidden/>
          </w:rPr>
          <w:fldChar w:fldCharType="begin"/>
        </w:r>
        <w:r w:rsidR="00941BF2">
          <w:rPr>
            <w:noProof/>
            <w:webHidden/>
          </w:rPr>
          <w:instrText xml:space="preserve"> PAGEREF _Toc71276717 \h </w:instrText>
        </w:r>
        <w:r w:rsidR="00941BF2">
          <w:rPr>
            <w:noProof/>
            <w:webHidden/>
          </w:rPr>
        </w:r>
        <w:r w:rsidR="00941BF2">
          <w:rPr>
            <w:noProof/>
            <w:webHidden/>
          </w:rPr>
          <w:fldChar w:fldCharType="separate"/>
        </w:r>
        <w:r w:rsidR="00941BF2">
          <w:rPr>
            <w:noProof/>
            <w:webHidden/>
          </w:rPr>
          <w:t>iii</w:t>
        </w:r>
        <w:r w:rsidR="00941BF2">
          <w:rPr>
            <w:noProof/>
            <w:webHidden/>
          </w:rPr>
          <w:fldChar w:fldCharType="end"/>
        </w:r>
      </w:hyperlink>
    </w:p>
    <w:p w14:paraId="4D856B8B" w14:textId="45131E9F" w:rsidR="00941BF2" w:rsidRDefault="00AD00AE">
      <w:pPr>
        <w:pStyle w:val="TOC8"/>
        <w:rPr>
          <w:rFonts w:asciiTheme="minorHAnsi" w:eastAsiaTheme="minorEastAsia" w:hAnsiTheme="minorHAnsi" w:cstheme="minorBidi"/>
          <w:b w:val="0"/>
          <w:caps w:val="0"/>
          <w:noProof/>
          <w:szCs w:val="24"/>
          <w:lang w:val="en-ZA" w:eastAsia="en-GB"/>
        </w:rPr>
      </w:pPr>
      <w:hyperlink w:anchor="_Toc71276718" w:history="1">
        <w:r w:rsidR="00941BF2" w:rsidRPr="00541CCF">
          <w:rPr>
            <w:rStyle w:val="Hyperlink"/>
            <w:noProof/>
          </w:rPr>
          <w:t>LIST OF ROLEPLAYERS</w:t>
        </w:r>
        <w:r w:rsidR="00941BF2">
          <w:rPr>
            <w:noProof/>
            <w:webHidden/>
          </w:rPr>
          <w:tab/>
        </w:r>
        <w:r w:rsidR="00941BF2">
          <w:rPr>
            <w:noProof/>
            <w:webHidden/>
          </w:rPr>
          <w:fldChar w:fldCharType="begin"/>
        </w:r>
        <w:r w:rsidR="00941BF2">
          <w:rPr>
            <w:noProof/>
            <w:webHidden/>
          </w:rPr>
          <w:instrText xml:space="preserve"> PAGEREF _Toc71276718 \h </w:instrText>
        </w:r>
        <w:r w:rsidR="00941BF2">
          <w:rPr>
            <w:noProof/>
            <w:webHidden/>
          </w:rPr>
        </w:r>
        <w:r w:rsidR="00941BF2">
          <w:rPr>
            <w:noProof/>
            <w:webHidden/>
          </w:rPr>
          <w:fldChar w:fldCharType="separate"/>
        </w:r>
        <w:r w:rsidR="00941BF2">
          <w:rPr>
            <w:noProof/>
            <w:webHidden/>
          </w:rPr>
          <w:t>iii</w:t>
        </w:r>
        <w:r w:rsidR="00941BF2">
          <w:rPr>
            <w:noProof/>
            <w:webHidden/>
          </w:rPr>
          <w:fldChar w:fldCharType="end"/>
        </w:r>
      </w:hyperlink>
    </w:p>
    <w:p w14:paraId="127B9940" w14:textId="611B6434" w:rsidR="00941BF2" w:rsidRDefault="00AD00AE">
      <w:pPr>
        <w:pStyle w:val="TOC1"/>
        <w:rPr>
          <w:rFonts w:asciiTheme="minorHAnsi" w:eastAsiaTheme="minorEastAsia" w:hAnsiTheme="minorHAnsi" w:cstheme="minorBidi"/>
          <w:b w:val="0"/>
          <w:noProof/>
          <w:szCs w:val="24"/>
          <w:lang w:val="en-ZA" w:eastAsia="en-GB"/>
        </w:rPr>
      </w:pPr>
      <w:hyperlink w:anchor="_Toc71276719" w:history="1">
        <w:r w:rsidR="00941BF2" w:rsidRPr="00541CCF">
          <w:rPr>
            <w:rStyle w:val="Hyperlink"/>
            <w:noProof/>
          </w:rPr>
          <w:t>1</w:t>
        </w:r>
        <w:r w:rsidR="00941BF2">
          <w:rPr>
            <w:rFonts w:asciiTheme="minorHAnsi" w:eastAsiaTheme="minorEastAsia" w:hAnsiTheme="minorHAnsi" w:cstheme="minorBidi"/>
            <w:b w:val="0"/>
            <w:noProof/>
            <w:szCs w:val="24"/>
            <w:lang w:val="en-ZA" w:eastAsia="en-GB"/>
          </w:rPr>
          <w:tab/>
        </w:r>
        <w:r w:rsidR="00941BF2" w:rsidRPr="00541CCF">
          <w:rPr>
            <w:rStyle w:val="Hyperlink"/>
            <w:noProof/>
          </w:rPr>
          <w:t>Introduction and background</w:t>
        </w:r>
        <w:r w:rsidR="00941BF2">
          <w:rPr>
            <w:noProof/>
            <w:webHidden/>
          </w:rPr>
          <w:tab/>
        </w:r>
        <w:r w:rsidR="00941BF2">
          <w:rPr>
            <w:noProof/>
            <w:webHidden/>
          </w:rPr>
          <w:fldChar w:fldCharType="begin"/>
        </w:r>
        <w:r w:rsidR="00941BF2">
          <w:rPr>
            <w:noProof/>
            <w:webHidden/>
          </w:rPr>
          <w:instrText xml:space="preserve"> PAGEREF _Toc71276719 \h </w:instrText>
        </w:r>
        <w:r w:rsidR="00941BF2">
          <w:rPr>
            <w:noProof/>
            <w:webHidden/>
          </w:rPr>
        </w:r>
        <w:r w:rsidR="00941BF2">
          <w:rPr>
            <w:noProof/>
            <w:webHidden/>
          </w:rPr>
          <w:fldChar w:fldCharType="separate"/>
        </w:r>
        <w:r w:rsidR="00941BF2">
          <w:rPr>
            <w:noProof/>
            <w:webHidden/>
          </w:rPr>
          <w:t>1</w:t>
        </w:r>
        <w:r w:rsidR="00941BF2">
          <w:rPr>
            <w:noProof/>
            <w:webHidden/>
          </w:rPr>
          <w:fldChar w:fldCharType="end"/>
        </w:r>
      </w:hyperlink>
    </w:p>
    <w:p w14:paraId="2AB2F95A" w14:textId="4EC88DD8" w:rsidR="00941BF2" w:rsidRDefault="00AD00AE">
      <w:pPr>
        <w:pStyle w:val="TOC1"/>
        <w:rPr>
          <w:rFonts w:asciiTheme="minorHAnsi" w:eastAsiaTheme="minorEastAsia" w:hAnsiTheme="minorHAnsi" w:cstheme="minorBidi"/>
          <w:b w:val="0"/>
          <w:noProof/>
          <w:szCs w:val="24"/>
          <w:lang w:val="en-ZA" w:eastAsia="en-GB"/>
        </w:rPr>
      </w:pPr>
      <w:hyperlink w:anchor="_Toc71276720" w:history="1">
        <w:r w:rsidR="00941BF2" w:rsidRPr="00541CCF">
          <w:rPr>
            <w:rStyle w:val="Hyperlink"/>
            <w:noProof/>
          </w:rPr>
          <w:t>2</w:t>
        </w:r>
        <w:r w:rsidR="00941BF2">
          <w:rPr>
            <w:rFonts w:asciiTheme="minorHAnsi" w:eastAsiaTheme="minorEastAsia" w:hAnsiTheme="minorHAnsi" w:cstheme="minorBidi"/>
            <w:b w:val="0"/>
            <w:noProof/>
            <w:szCs w:val="24"/>
            <w:lang w:val="en-ZA" w:eastAsia="en-GB"/>
          </w:rPr>
          <w:tab/>
        </w:r>
        <w:r w:rsidR="00941BF2" w:rsidRPr="00541CCF">
          <w:rPr>
            <w:rStyle w:val="Hyperlink"/>
            <w:noProof/>
          </w:rPr>
          <w:t>Transgression description</w:t>
        </w:r>
        <w:r w:rsidR="00941BF2">
          <w:rPr>
            <w:noProof/>
            <w:webHidden/>
          </w:rPr>
          <w:tab/>
        </w:r>
        <w:r w:rsidR="00941BF2">
          <w:rPr>
            <w:noProof/>
            <w:webHidden/>
          </w:rPr>
          <w:fldChar w:fldCharType="begin"/>
        </w:r>
        <w:r w:rsidR="00941BF2">
          <w:rPr>
            <w:noProof/>
            <w:webHidden/>
          </w:rPr>
          <w:instrText xml:space="preserve"> PAGEREF _Toc71276720 \h </w:instrText>
        </w:r>
        <w:r w:rsidR="00941BF2">
          <w:rPr>
            <w:noProof/>
            <w:webHidden/>
          </w:rPr>
        </w:r>
        <w:r w:rsidR="00941BF2">
          <w:rPr>
            <w:noProof/>
            <w:webHidden/>
          </w:rPr>
          <w:fldChar w:fldCharType="separate"/>
        </w:r>
        <w:r w:rsidR="00941BF2">
          <w:rPr>
            <w:noProof/>
            <w:webHidden/>
          </w:rPr>
          <w:t>3</w:t>
        </w:r>
        <w:r w:rsidR="00941BF2">
          <w:rPr>
            <w:noProof/>
            <w:webHidden/>
          </w:rPr>
          <w:fldChar w:fldCharType="end"/>
        </w:r>
      </w:hyperlink>
    </w:p>
    <w:p w14:paraId="2F14C804" w14:textId="37E837EE" w:rsidR="00941BF2" w:rsidRDefault="00AD00AE">
      <w:pPr>
        <w:pStyle w:val="TOC1"/>
        <w:rPr>
          <w:rFonts w:asciiTheme="minorHAnsi" w:eastAsiaTheme="minorEastAsia" w:hAnsiTheme="minorHAnsi" w:cstheme="minorBidi"/>
          <w:b w:val="0"/>
          <w:noProof/>
          <w:szCs w:val="24"/>
          <w:lang w:val="en-ZA" w:eastAsia="en-GB"/>
        </w:rPr>
      </w:pPr>
      <w:hyperlink w:anchor="_Toc71276721" w:history="1">
        <w:r w:rsidR="00941BF2" w:rsidRPr="00541CCF">
          <w:rPr>
            <w:rStyle w:val="Hyperlink"/>
            <w:noProof/>
          </w:rPr>
          <w:t>3</w:t>
        </w:r>
        <w:r w:rsidR="00941BF2">
          <w:rPr>
            <w:rFonts w:asciiTheme="minorHAnsi" w:eastAsiaTheme="minorEastAsia" w:hAnsiTheme="minorHAnsi" w:cstheme="minorBidi"/>
            <w:b w:val="0"/>
            <w:noProof/>
            <w:szCs w:val="24"/>
            <w:lang w:val="en-ZA" w:eastAsia="en-GB"/>
          </w:rPr>
          <w:tab/>
        </w:r>
        <w:r w:rsidR="00941BF2" w:rsidRPr="00541CCF">
          <w:rPr>
            <w:rStyle w:val="Hyperlink"/>
            <w:noProof/>
          </w:rPr>
          <w:t>The role-players and facts of the Labour Court case</w:t>
        </w:r>
        <w:r w:rsidR="00941BF2">
          <w:rPr>
            <w:noProof/>
            <w:webHidden/>
          </w:rPr>
          <w:tab/>
        </w:r>
        <w:r w:rsidR="00941BF2">
          <w:rPr>
            <w:noProof/>
            <w:webHidden/>
          </w:rPr>
          <w:fldChar w:fldCharType="begin"/>
        </w:r>
        <w:r w:rsidR="00941BF2">
          <w:rPr>
            <w:noProof/>
            <w:webHidden/>
          </w:rPr>
          <w:instrText xml:space="preserve"> PAGEREF _Toc71276721 \h </w:instrText>
        </w:r>
        <w:r w:rsidR="00941BF2">
          <w:rPr>
            <w:noProof/>
            <w:webHidden/>
          </w:rPr>
        </w:r>
        <w:r w:rsidR="00941BF2">
          <w:rPr>
            <w:noProof/>
            <w:webHidden/>
          </w:rPr>
          <w:fldChar w:fldCharType="separate"/>
        </w:r>
        <w:r w:rsidR="00941BF2">
          <w:rPr>
            <w:noProof/>
            <w:webHidden/>
          </w:rPr>
          <w:t>4</w:t>
        </w:r>
        <w:r w:rsidR="00941BF2">
          <w:rPr>
            <w:noProof/>
            <w:webHidden/>
          </w:rPr>
          <w:fldChar w:fldCharType="end"/>
        </w:r>
      </w:hyperlink>
    </w:p>
    <w:p w14:paraId="4B49FE85" w14:textId="633E69CC" w:rsidR="00941BF2" w:rsidRDefault="00AD00AE">
      <w:pPr>
        <w:pStyle w:val="TOC2"/>
        <w:rPr>
          <w:rFonts w:asciiTheme="minorHAnsi" w:eastAsiaTheme="minorEastAsia" w:hAnsiTheme="minorHAnsi" w:cstheme="minorBidi"/>
          <w:b w:val="0"/>
          <w:i w:val="0"/>
          <w:noProof/>
          <w:szCs w:val="24"/>
          <w:lang w:val="en-ZA" w:eastAsia="en-GB"/>
        </w:rPr>
      </w:pPr>
      <w:hyperlink w:anchor="_Toc71276722" w:history="1">
        <w:r w:rsidR="00941BF2" w:rsidRPr="00541CCF">
          <w:rPr>
            <w:rStyle w:val="Hyperlink"/>
            <w:noProof/>
          </w:rPr>
          <w:t>3.1</w:t>
        </w:r>
        <w:r w:rsidR="00941BF2">
          <w:rPr>
            <w:rFonts w:asciiTheme="minorHAnsi" w:eastAsiaTheme="minorEastAsia" w:hAnsiTheme="minorHAnsi" w:cstheme="minorBidi"/>
            <w:b w:val="0"/>
            <w:i w:val="0"/>
            <w:noProof/>
            <w:szCs w:val="24"/>
            <w:lang w:val="en-ZA" w:eastAsia="en-GB"/>
          </w:rPr>
          <w:tab/>
        </w:r>
        <w:r w:rsidR="00941BF2" w:rsidRPr="00541CCF">
          <w:rPr>
            <w:rStyle w:val="Hyperlink"/>
            <w:noProof/>
          </w:rPr>
          <w:t>The role-players</w:t>
        </w:r>
        <w:r w:rsidR="00941BF2">
          <w:rPr>
            <w:noProof/>
            <w:webHidden/>
          </w:rPr>
          <w:tab/>
        </w:r>
        <w:r w:rsidR="00941BF2">
          <w:rPr>
            <w:noProof/>
            <w:webHidden/>
          </w:rPr>
          <w:fldChar w:fldCharType="begin"/>
        </w:r>
        <w:r w:rsidR="00941BF2">
          <w:rPr>
            <w:noProof/>
            <w:webHidden/>
          </w:rPr>
          <w:instrText xml:space="preserve"> PAGEREF _Toc71276722 \h </w:instrText>
        </w:r>
        <w:r w:rsidR="00941BF2">
          <w:rPr>
            <w:noProof/>
            <w:webHidden/>
          </w:rPr>
        </w:r>
        <w:r w:rsidR="00941BF2">
          <w:rPr>
            <w:noProof/>
            <w:webHidden/>
          </w:rPr>
          <w:fldChar w:fldCharType="separate"/>
        </w:r>
        <w:r w:rsidR="00941BF2">
          <w:rPr>
            <w:noProof/>
            <w:webHidden/>
          </w:rPr>
          <w:t>4</w:t>
        </w:r>
        <w:r w:rsidR="00941BF2">
          <w:rPr>
            <w:noProof/>
            <w:webHidden/>
          </w:rPr>
          <w:fldChar w:fldCharType="end"/>
        </w:r>
      </w:hyperlink>
    </w:p>
    <w:p w14:paraId="70B60F94" w14:textId="503D0610" w:rsidR="00941BF2" w:rsidRDefault="00AD00AE">
      <w:pPr>
        <w:pStyle w:val="TOC2"/>
        <w:rPr>
          <w:rFonts w:asciiTheme="minorHAnsi" w:eastAsiaTheme="minorEastAsia" w:hAnsiTheme="minorHAnsi" w:cstheme="minorBidi"/>
          <w:b w:val="0"/>
          <w:i w:val="0"/>
          <w:noProof/>
          <w:szCs w:val="24"/>
          <w:lang w:val="en-ZA" w:eastAsia="en-GB"/>
        </w:rPr>
      </w:pPr>
      <w:hyperlink w:anchor="_Toc71276723" w:history="1">
        <w:r w:rsidR="00941BF2" w:rsidRPr="00541CCF">
          <w:rPr>
            <w:rStyle w:val="Hyperlink"/>
            <w:noProof/>
          </w:rPr>
          <w:t>3.2</w:t>
        </w:r>
        <w:r w:rsidR="00941BF2">
          <w:rPr>
            <w:rFonts w:asciiTheme="minorHAnsi" w:eastAsiaTheme="minorEastAsia" w:hAnsiTheme="minorHAnsi" w:cstheme="minorBidi"/>
            <w:b w:val="0"/>
            <w:i w:val="0"/>
            <w:noProof/>
            <w:szCs w:val="24"/>
            <w:lang w:val="en-ZA" w:eastAsia="en-GB"/>
          </w:rPr>
          <w:tab/>
        </w:r>
        <w:r w:rsidR="00941BF2" w:rsidRPr="00541CCF">
          <w:rPr>
            <w:rStyle w:val="Hyperlink"/>
            <w:noProof/>
          </w:rPr>
          <w:t>Outlined Facts of the Labour Court Case</w:t>
        </w:r>
        <w:r w:rsidR="00941BF2">
          <w:rPr>
            <w:noProof/>
            <w:webHidden/>
          </w:rPr>
          <w:tab/>
        </w:r>
        <w:r w:rsidR="00941BF2">
          <w:rPr>
            <w:noProof/>
            <w:webHidden/>
          </w:rPr>
          <w:fldChar w:fldCharType="begin"/>
        </w:r>
        <w:r w:rsidR="00941BF2">
          <w:rPr>
            <w:noProof/>
            <w:webHidden/>
          </w:rPr>
          <w:instrText xml:space="preserve"> PAGEREF _Toc71276723 \h </w:instrText>
        </w:r>
        <w:r w:rsidR="00941BF2">
          <w:rPr>
            <w:noProof/>
            <w:webHidden/>
          </w:rPr>
        </w:r>
        <w:r w:rsidR="00941BF2">
          <w:rPr>
            <w:noProof/>
            <w:webHidden/>
          </w:rPr>
          <w:fldChar w:fldCharType="separate"/>
        </w:r>
        <w:r w:rsidR="00941BF2">
          <w:rPr>
            <w:noProof/>
            <w:webHidden/>
          </w:rPr>
          <w:t>5</w:t>
        </w:r>
        <w:r w:rsidR="00941BF2">
          <w:rPr>
            <w:noProof/>
            <w:webHidden/>
          </w:rPr>
          <w:fldChar w:fldCharType="end"/>
        </w:r>
      </w:hyperlink>
    </w:p>
    <w:p w14:paraId="138083C0" w14:textId="007ED56B" w:rsidR="00941BF2" w:rsidRDefault="00AD00AE">
      <w:pPr>
        <w:pStyle w:val="TOC2"/>
        <w:rPr>
          <w:rFonts w:asciiTheme="minorHAnsi" w:eastAsiaTheme="minorEastAsia" w:hAnsiTheme="minorHAnsi" w:cstheme="minorBidi"/>
          <w:b w:val="0"/>
          <w:i w:val="0"/>
          <w:noProof/>
          <w:szCs w:val="24"/>
          <w:lang w:val="en-ZA" w:eastAsia="en-GB"/>
        </w:rPr>
      </w:pPr>
      <w:hyperlink w:anchor="_Toc71276724" w:history="1">
        <w:r w:rsidR="00941BF2" w:rsidRPr="00541CCF">
          <w:rPr>
            <w:rStyle w:val="Hyperlink"/>
            <w:noProof/>
          </w:rPr>
          <w:t>3.3</w:t>
        </w:r>
        <w:r w:rsidR="00941BF2">
          <w:rPr>
            <w:rFonts w:asciiTheme="minorHAnsi" w:eastAsiaTheme="minorEastAsia" w:hAnsiTheme="minorHAnsi" w:cstheme="minorBidi"/>
            <w:b w:val="0"/>
            <w:i w:val="0"/>
            <w:noProof/>
            <w:szCs w:val="24"/>
            <w:lang w:val="en-ZA" w:eastAsia="en-GB"/>
          </w:rPr>
          <w:tab/>
        </w:r>
        <w:r w:rsidR="00941BF2" w:rsidRPr="00541CCF">
          <w:rPr>
            <w:rStyle w:val="Hyperlink"/>
            <w:noProof/>
          </w:rPr>
          <w:t>Errors Made during Arbitration</w:t>
        </w:r>
        <w:r w:rsidR="00941BF2">
          <w:rPr>
            <w:noProof/>
            <w:webHidden/>
          </w:rPr>
          <w:tab/>
        </w:r>
        <w:r w:rsidR="00941BF2">
          <w:rPr>
            <w:noProof/>
            <w:webHidden/>
          </w:rPr>
          <w:fldChar w:fldCharType="begin"/>
        </w:r>
        <w:r w:rsidR="00941BF2">
          <w:rPr>
            <w:noProof/>
            <w:webHidden/>
          </w:rPr>
          <w:instrText xml:space="preserve"> PAGEREF _Toc71276724 \h </w:instrText>
        </w:r>
        <w:r w:rsidR="00941BF2">
          <w:rPr>
            <w:noProof/>
            <w:webHidden/>
          </w:rPr>
        </w:r>
        <w:r w:rsidR="00941BF2">
          <w:rPr>
            <w:noProof/>
            <w:webHidden/>
          </w:rPr>
          <w:fldChar w:fldCharType="separate"/>
        </w:r>
        <w:r w:rsidR="00941BF2">
          <w:rPr>
            <w:noProof/>
            <w:webHidden/>
          </w:rPr>
          <w:t>5</w:t>
        </w:r>
        <w:r w:rsidR="00941BF2">
          <w:rPr>
            <w:noProof/>
            <w:webHidden/>
          </w:rPr>
          <w:fldChar w:fldCharType="end"/>
        </w:r>
      </w:hyperlink>
    </w:p>
    <w:p w14:paraId="444B0E47" w14:textId="6293F3BE" w:rsidR="00941BF2" w:rsidRDefault="00AD00AE">
      <w:pPr>
        <w:pStyle w:val="TOC1"/>
        <w:rPr>
          <w:rFonts w:asciiTheme="minorHAnsi" w:eastAsiaTheme="minorEastAsia" w:hAnsiTheme="minorHAnsi" w:cstheme="minorBidi"/>
          <w:b w:val="0"/>
          <w:noProof/>
          <w:szCs w:val="24"/>
          <w:lang w:val="en-ZA" w:eastAsia="en-GB"/>
        </w:rPr>
      </w:pPr>
      <w:hyperlink w:anchor="_Toc71276725" w:history="1">
        <w:r w:rsidR="00941BF2" w:rsidRPr="00541CCF">
          <w:rPr>
            <w:rStyle w:val="Hyperlink"/>
            <w:noProof/>
          </w:rPr>
          <w:t>4</w:t>
        </w:r>
        <w:r w:rsidR="00941BF2">
          <w:rPr>
            <w:rFonts w:asciiTheme="minorHAnsi" w:eastAsiaTheme="minorEastAsia" w:hAnsiTheme="minorHAnsi" w:cstheme="minorBidi"/>
            <w:b w:val="0"/>
            <w:noProof/>
            <w:szCs w:val="24"/>
            <w:lang w:val="en-ZA" w:eastAsia="en-GB"/>
          </w:rPr>
          <w:tab/>
        </w:r>
        <w:r w:rsidR="00941BF2" w:rsidRPr="00541CCF">
          <w:rPr>
            <w:rStyle w:val="Hyperlink"/>
            <w:noProof/>
          </w:rPr>
          <w:t>Mitigating factors</w:t>
        </w:r>
        <w:r w:rsidR="00941BF2">
          <w:rPr>
            <w:noProof/>
            <w:webHidden/>
          </w:rPr>
          <w:tab/>
        </w:r>
        <w:r w:rsidR="00941BF2">
          <w:rPr>
            <w:noProof/>
            <w:webHidden/>
          </w:rPr>
          <w:fldChar w:fldCharType="begin"/>
        </w:r>
        <w:r w:rsidR="00941BF2">
          <w:rPr>
            <w:noProof/>
            <w:webHidden/>
          </w:rPr>
          <w:instrText xml:space="preserve"> PAGEREF _Toc71276725 \h </w:instrText>
        </w:r>
        <w:r w:rsidR="00941BF2">
          <w:rPr>
            <w:noProof/>
            <w:webHidden/>
          </w:rPr>
        </w:r>
        <w:r w:rsidR="00941BF2">
          <w:rPr>
            <w:noProof/>
            <w:webHidden/>
          </w:rPr>
          <w:fldChar w:fldCharType="separate"/>
        </w:r>
        <w:r w:rsidR="00941BF2">
          <w:rPr>
            <w:noProof/>
            <w:webHidden/>
          </w:rPr>
          <w:t>6</w:t>
        </w:r>
        <w:r w:rsidR="00941BF2">
          <w:rPr>
            <w:noProof/>
            <w:webHidden/>
          </w:rPr>
          <w:fldChar w:fldCharType="end"/>
        </w:r>
      </w:hyperlink>
    </w:p>
    <w:p w14:paraId="0E6F961C" w14:textId="33DA8A40" w:rsidR="00941BF2" w:rsidRDefault="00AD00AE">
      <w:pPr>
        <w:pStyle w:val="TOC1"/>
        <w:rPr>
          <w:rFonts w:asciiTheme="minorHAnsi" w:eastAsiaTheme="minorEastAsia" w:hAnsiTheme="minorHAnsi" w:cstheme="minorBidi"/>
          <w:b w:val="0"/>
          <w:noProof/>
          <w:szCs w:val="24"/>
          <w:lang w:val="en-ZA" w:eastAsia="en-GB"/>
        </w:rPr>
      </w:pPr>
      <w:hyperlink w:anchor="_Toc71276726" w:history="1">
        <w:r w:rsidR="00941BF2" w:rsidRPr="00541CCF">
          <w:rPr>
            <w:rStyle w:val="Hyperlink"/>
            <w:noProof/>
          </w:rPr>
          <w:t>5</w:t>
        </w:r>
        <w:r w:rsidR="00941BF2">
          <w:rPr>
            <w:rFonts w:asciiTheme="minorHAnsi" w:eastAsiaTheme="minorEastAsia" w:hAnsiTheme="minorHAnsi" w:cstheme="minorBidi"/>
            <w:b w:val="0"/>
            <w:noProof/>
            <w:szCs w:val="24"/>
            <w:lang w:val="en-ZA" w:eastAsia="en-GB"/>
          </w:rPr>
          <w:tab/>
        </w:r>
        <w:r w:rsidR="00941BF2" w:rsidRPr="00541CCF">
          <w:rPr>
            <w:rStyle w:val="Hyperlink"/>
            <w:noProof/>
          </w:rPr>
          <w:t>Conclusion</w:t>
        </w:r>
        <w:r w:rsidR="00941BF2">
          <w:rPr>
            <w:noProof/>
            <w:webHidden/>
          </w:rPr>
          <w:tab/>
        </w:r>
        <w:r w:rsidR="00941BF2">
          <w:rPr>
            <w:noProof/>
            <w:webHidden/>
          </w:rPr>
          <w:fldChar w:fldCharType="begin"/>
        </w:r>
        <w:r w:rsidR="00941BF2">
          <w:rPr>
            <w:noProof/>
            <w:webHidden/>
          </w:rPr>
          <w:instrText xml:space="preserve"> PAGEREF _Toc71276726 \h </w:instrText>
        </w:r>
        <w:r w:rsidR="00941BF2">
          <w:rPr>
            <w:noProof/>
            <w:webHidden/>
          </w:rPr>
        </w:r>
        <w:r w:rsidR="00941BF2">
          <w:rPr>
            <w:noProof/>
            <w:webHidden/>
          </w:rPr>
          <w:fldChar w:fldCharType="separate"/>
        </w:r>
        <w:r w:rsidR="00941BF2">
          <w:rPr>
            <w:noProof/>
            <w:webHidden/>
          </w:rPr>
          <w:t>7</w:t>
        </w:r>
        <w:r w:rsidR="00941BF2">
          <w:rPr>
            <w:noProof/>
            <w:webHidden/>
          </w:rPr>
          <w:fldChar w:fldCharType="end"/>
        </w:r>
      </w:hyperlink>
    </w:p>
    <w:p w14:paraId="69DE5B41" w14:textId="0D60F159" w:rsidR="00941BF2" w:rsidRDefault="00AD00AE">
      <w:pPr>
        <w:pStyle w:val="TOC8"/>
        <w:rPr>
          <w:rFonts w:asciiTheme="minorHAnsi" w:eastAsiaTheme="minorEastAsia" w:hAnsiTheme="minorHAnsi" w:cstheme="minorBidi"/>
          <w:b w:val="0"/>
          <w:caps w:val="0"/>
          <w:noProof/>
          <w:szCs w:val="24"/>
          <w:lang w:val="en-ZA" w:eastAsia="en-GB"/>
        </w:rPr>
      </w:pPr>
      <w:hyperlink w:anchor="_Toc71276727" w:history="1">
        <w:r w:rsidR="00941BF2" w:rsidRPr="00541CCF">
          <w:rPr>
            <w:rStyle w:val="Hyperlink"/>
            <w:noProof/>
          </w:rPr>
          <w:t>BIBLIOGRAPHY</w:t>
        </w:r>
        <w:r w:rsidR="00941BF2">
          <w:rPr>
            <w:noProof/>
            <w:webHidden/>
          </w:rPr>
          <w:tab/>
        </w:r>
        <w:r w:rsidR="00941BF2">
          <w:rPr>
            <w:noProof/>
            <w:webHidden/>
          </w:rPr>
          <w:fldChar w:fldCharType="begin"/>
        </w:r>
        <w:r w:rsidR="00941BF2">
          <w:rPr>
            <w:noProof/>
            <w:webHidden/>
          </w:rPr>
          <w:instrText xml:space="preserve"> PAGEREF _Toc71276727 \h </w:instrText>
        </w:r>
        <w:r w:rsidR="00941BF2">
          <w:rPr>
            <w:noProof/>
            <w:webHidden/>
          </w:rPr>
        </w:r>
        <w:r w:rsidR="00941BF2">
          <w:rPr>
            <w:noProof/>
            <w:webHidden/>
          </w:rPr>
          <w:fldChar w:fldCharType="separate"/>
        </w:r>
        <w:r w:rsidR="00941BF2">
          <w:rPr>
            <w:noProof/>
            <w:webHidden/>
          </w:rPr>
          <w:t>9</w:t>
        </w:r>
        <w:r w:rsidR="00941BF2">
          <w:rPr>
            <w:noProof/>
            <w:webHidden/>
          </w:rPr>
          <w:fldChar w:fldCharType="end"/>
        </w:r>
      </w:hyperlink>
    </w:p>
    <w:p w14:paraId="5CC27C64" w14:textId="125FB777" w:rsidR="005F3ADE" w:rsidRDefault="008D5D1C">
      <w:r w:rsidRPr="00FC237A">
        <w:rPr>
          <w:rFonts w:ascii="Arial" w:hAnsi="Arial" w:cs="Arial"/>
          <w:b/>
          <w:szCs w:val="22"/>
        </w:rPr>
        <w:fldChar w:fldCharType="end"/>
      </w:r>
      <w:r>
        <w:br w:type="page"/>
      </w:r>
    </w:p>
    <w:p w14:paraId="2C2AEDC8" w14:textId="6A3C9F11" w:rsidR="005F3ADE" w:rsidRDefault="008D5D1C">
      <w:pPr>
        <w:pStyle w:val="TOCHeading0"/>
      </w:pPr>
      <w:bookmarkStart w:id="1" w:name="_Toc350776064"/>
      <w:bookmarkStart w:id="2" w:name="_Toc376938984"/>
      <w:bookmarkStart w:id="3" w:name="_Toc395687202"/>
      <w:bookmarkStart w:id="4" w:name="_Toc395691309"/>
      <w:bookmarkStart w:id="5" w:name="_Toc397017531"/>
      <w:bookmarkStart w:id="6" w:name="_Toc71276717"/>
      <w:r>
        <w:rPr>
          <w:caps w:val="0"/>
        </w:rPr>
        <w:lastRenderedPageBreak/>
        <w:t>LIST OF ABBREVIATIONS</w:t>
      </w:r>
      <w:bookmarkEnd w:id="1"/>
      <w:bookmarkEnd w:id="2"/>
      <w:bookmarkEnd w:id="3"/>
      <w:bookmarkEnd w:id="4"/>
      <w:bookmarkEnd w:id="5"/>
      <w:bookmarkEnd w:id="6"/>
    </w:p>
    <w:p w14:paraId="05F0E940" w14:textId="52764CE6" w:rsidR="005F3ADE" w:rsidRPr="007D6C0F" w:rsidRDefault="00012226">
      <w:pPr>
        <w:pStyle w:val="Abbreviation"/>
        <w:rPr>
          <w:rFonts w:ascii="Arial" w:hAnsi="Arial" w:cs="Arial"/>
        </w:rPr>
      </w:pPr>
      <w:r w:rsidRPr="007D6C0F">
        <w:rPr>
          <w:rFonts w:ascii="Arial" w:hAnsi="Arial" w:cs="Arial"/>
        </w:rPr>
        <w:t>CCMA</w:t>
      </w:r>
      <w:r w:rsidR="008D5D1C" w:rsidRPr="007D6C0F">
        <w:rPr>
          <w:rFonts w:ascii="Arial" w:hAnsi="Arial" w:cs="Arial"/>
        </w:rPr>
        <w:tab/>
      </w:r>
      <w:r w:rsidRPr="007D6C0F">
        <w:rPr>
          <w:rFonts w:ascii="Arial" w:hAnsi="Arial" w:cs="Arial"/>
        </w:rPr>
        <w:t>Co</w:t>
      </w:r>
      <w:r w:rsidR="00DA42EE" w:rsidRPr="007D6C0F">
        <w:rPr>
          <w:rFonts w:ascii="Arial" w:hAnsi="Arial" w:cs="Arial"/>
        </w:rPr>
        <w:t>mmission</w:t>
      </w:r>
      <w:r w:rsidRPr="007D6C0F">
        <w:rPr>
          <w:rFonts w:ascii="Arial" w:hAnsi="Arial" w:cs="Arial"/>
        </w:rPr>
        <w:t xml:space="preserve"> for Conciliation, Mediation and Arbitration</w:t>
      </w:r>
    </w:p>
    <w:p w14:paraId="4F5C065C" w14:textId="73BC11A6" w:rsidR="00E77DF6" w:rsidRPr="007D6C0F" w:rsidRDefault="00E77DF6">
      <w:pPr>
        <w:pStyle w:val="Abbreviation"/>
        <w:rPr>
          <w:rFonts w:ascii="Arial" w:hAnsi="Arial" w:cs="Arial"/>
        </w:rPr>
      </w:pPr>
      <w:r w:rsidRPr="007D6C0F">
        <w:rPr>
          <w:rFonts w:ascii="Arial" w:hAnsi="Arial" w:cs="Arial"/>
        </w:rPr>
        <w:t>LRA</w:t>
      </w:r>
      <w:r w:rsidRPr="007D6C0F">
        <w:rPr>
          <w:rFonts w:ascii="Arial" w:hAnsi="Arial" w:cs="Arial"/>
        </w:rPr>
        <w:tab/>
        <w:t>Labour Relations Act 66 of 1995</w:t>
      </w:r>
    </w:p>
    <w:p w14:paraId="61FE2A58" w14:textId="07E697F7" w:rsidR="00EA2641" w:rsidRPr="007D6C0F" w:rsidRDefault="00EA2641">
      <w:pPr>
        <w:pStyle w:val="Abbreviation"/>
        <w:rPr>
          <w:rFonts w:ascii="Arial" w:hAnsi="Arial" w:cs="Arial"/>
        </w:rPr>
      </w:pPr>
      <w:r w:rsidRPr="007D6C0F">
        <w:rPr>
          <w:rFonts w:ascii="Arial" w:hAnsi="Arial" w:cs="Arial"/>
        </w:rPr>
        <w:t>NUM</w:t>
      </w:r>
      <w:r w:rsidR="00DA42EE" w:rsidRPr="007D6C0F">
        <w:rPr>
          <w:rFonts w:ascii="Arial" w:hAnsi="Arial" w:cs="Arial"/>
        </w:rPr>
        <w:tab/>
        <w:t>National Union of Mineworkers</w:t>
      </w:r>
    </w:p>
    <w:p w14:paraId="346091E8" w14:textId="301EAE00" w:rsidR="00E252FA" w:rsidRPr="007D6C0F" w:rsidRDefault="00E252FA">
      <w:pPr>
        <w:pStyle w:val="Abbreviation"/>
        <w:rPr>
          <w:rFonts w:ascii="Arial" w:hAnsi="Arial" w:cs="Arial"/>
        </w:rPr>
      </w:pPr>
      <w:r w:rsidRPr="007D6C0F">
        <w:rPr>
          <w:rFonts w:ascii="Arial" w:hAnsi="Arial" w:cs="Arial"/>
        </w:rPr>
        <w:t>obo</w:t>
      </w:r>
      <w:r w:rsidRPr="007D6C0F">
        <w:rPr>
          <w:rFonts w:ascii="Arial" w:hAnsi="Arial" w:cs="Arial"/>
        </w:rPr>
        <w:tab/>
        <w:t>On behalf of</w:t>
      </w:r>
    </w:p>
    <w:p w14:paraId="64440008" w14:textId="77777777" w:rsidR="00DF6B03" w:rsidRDefault="00DF6B03" w:rsidP="00012226"/>
    <w:p w14:paraId="37951DE0" w14:textId="1C7FBB98" w:rsidR="00DF6B03" w:rsidRDefault="00DF6B03" w:rsidP="00DF6B03">
      <w:pPr>
        <w:pStyle w:val="TOCHeading0"/>
      </w:pPr>
      <w:bookmarkStart w:id="7" w:name="_Toc71276718"/>
      <w:r>
        <w:rPr>
          <w:caps w:val="0"/>
        </w:rPr>
        <w:t>LIST OF ROLEPLAYERS</w:t>
      </w:r>
      <w:bookmarkEnd w:id="7"/>
    </w:p>
    <w:p w14:paraId="385C5FBF" w14:textId="66D8E276" w:rsidR="00DF6B03" w:rsidRPr="007D6C0F" w:rsidRDefault="00DF6B03" w:rsidP="007D6C0F">
      <w:pPr>
        <w:tabs>
          <w:tab w:val="left" w:pos="2835"/>
        </w:tabs>
        <w:spacing w:after="120" w:line="360" w:lineRule="auto"/>
        <w:ind w:left="2835" w:hanging="2835"/>
        <w:rPr>
          <w:rFonts w:ascii="Arial" w:hAnsi="Arial" w:cs="Arial"/>
        </w:rPr>
      </w:pPr>
      <w:r w:rsidRPr="007D6C0F">
        <w:rPr>
          <w:rFonts w:ascii="Arial" w:hAnsi="Arial" w:cs="Arial"/>
        </w:rPr>
        <w:t>Applicant</w:t>
      </w:r>
      <w:r w:rsidRPr="007D6C0F">
        <w:rPr>
          <w:rFonts w:ascii="Arial" w:hAnsi="Arial" w:cs="Arial"/>
        </w:rPr>
        <w:tab/>
        <w:t xml:space="preserve">Glencore Operations South Africa </w:t>
      </w:r>
      <w:r w:rsidR="00B579BE">
        <w:rPr>
          <w:rFonts w:ascii="Arial" w:hAnsi="Arial" w:cs="Arial"/>
        </w:rPr>
        <w:t>(</w:t>
      </w:r>
      <w:r w:rsidR="00407A9A">
        <w:rPr>
          <w:rFonts w:ascii="Arial" w:hAnsi="Arial" w:cs="Arial"/>
        </w:rPr>
        <w:t>Pty</w:t>
      </w:r>
      <w:r w:rsidR="00B579BE">
        <w:rPr>
          <w:rFonts w:ascii="Arial" w:hAnsi="Arial" w:cs="Arial"/>
        </w:rPr>
        <w:t>)</w:t>
      </w:r>
      <w:r w:rsidRPr="007D6C0F">
        <w:rPr>
          <w:rFonts w:ascii="Arial" w:hAnsi="Arial" w:cs="Arial"/>
        </w:rPr>
        <w:t>Ltd (Lion Ferrochrome)</w:t>
      </w:r>
    </w:p>
    <w:p w14:paraId="6C78116A" w14:textId="1D8CC4F6" w:rsidR="00DF6B03" w:rsidRPr="007D6C0F" w:rsidRDefault="00DF6B03" w:rsidP="007D6C0F">
      <w:pPr>
        <w:tabs>
          <w:tab w:val="left" w:pos="2835"/>
        </w:tabs>
        <w:spacing w:after="120" w:line="360" w:lineRule="auto"/>
        <w:rPr>
          <w:rFonts w:ascii="Arial" w:hAnsi="Arial" w:cs="Arial"/>
        </w:rPr>
      </w:pPr>
      <w:r w:rsidRPr="007D6C0F">
        <w:rPr>
          <w:rFonts w:ascii="Arial" w:hAnsi="Arial" w:cs="Arial"/>
        </w:rPr>
        <w:t>First Respondent</w:t>
      </w:r>
      <w:r w:rsidRPr="007D6C0F">
        <w:rPr>
          <w:rFonts w:ascii="Arial" w:hAnsi="Arial" w:cs="Arial"/>
        </w:rPr>
        <w:tab/>
        <w:t>NUM obo Simon Maripane</w:t>
      </w:r>
    </w:p>
    <w:p w14:paraId="749530F0" w14:textId="6559368B" w:rsidR="00DF6B03" w:rsidRPr="007D6C0F" w:rsidRDefault="00DF6B03" w:rsidP="007D6C0F">
      <w:pPr>
        <w:tabs>
          <w:tab w:val="left" w:pos="2835"/>
        </w:tabs>
        <w:spacing w:after="120" w:line="360" w:lineRule="auto"/>
        <w:rPr>
          <w:rFonts w:ascii="Arial" w:hAnsi="Arial" w:cs="Arial"/>
        </w:rPr>
      </w:pPr>
      <w:r w:rsidRPr="007D6C0F">
        <w:rPr>
          <w:rFonts w:ascii="Arial" w:hAnsi="Arial" w:cs="Arial"/>
        </w:rPr>
        <w:t>Second Respondent</w:t>
      </w:r>
      <w:r w:rsidRPr="007D6C0F">
        <w:rPr>
          <w:rFonts w:ascii="Arial" w:hAnsi="Arial" w:cs="Arial"/>
        </w:rPr>
        <w:tab/>
        <w:t>CCMA</w:t>
      </w:r>
    </w:p>
    <w:p w14:paraId="2A8E504F" w14:textId="11A1205E" w:rsidR="00DF6B03" w:rsidRPr="007D6C0F" w:rsidRDefault="00DF6B03" w:rsidP="007D6C0F">
      <w:pPr>
        <w:tabs>
          <w:tab w:val="left" w:pos="2835"/>
        </w:tabs>
        <w:spacing w:after="120" w:line="360" w:lineRule="auto"/>
        <w:rPr>
          <w:rFonts w:ascii="Arial" w:hAnsi="Arial" w:cs="Arial"/>
        </w:rPr>
      </w:pPr>
      <w:r w:rsidRPr="007D6C0F">
        <w:rPr>
          <w:rFonts w:ascii="Arial" w:hAnsi="Arial" w:cs="Arial"/>
        </w:rPr>
        <w:t>Third Respondent</w:t>
      </w:r>
      <w:r w:rsidRPr="007D6C0F">
        <w:rPr>
          <w:rFonts w:ascii="Arial" w:hAnsi="Arial" w:cs="Arial"/>
        </w:rPr>
        <w:tab/>
        <w:t>Simon Mohubedu Rantho N.O.</w:t>
      </w:r>
    </w:p>
    <w:p w14:paraId="6D636DD1" w14:textId="2A471991" w:rsidR="00DF6B03" w:rsidRPr="007D6C0F" w:rsidRDefault="00DF6B03" w:rsidP="007D6C0F">
      <w:pPr>
        <w:tabs>
          <w:tab w:val="left" w:pos="2835"/>
        </w:tabs>
        <w:spacing w:after="120" w:line="360" w:lineRule="auto"/>
        <w:rPr>
          <w:rFonts w:ascii="Arial" w:hAnsi="Arial" w:cs="Arial"/>
        </w:rPr>
      </w:pPr>
      <w:r w:rsidRPr="007D6C0F">
        <w:rPr>
          <w:rFonts w:ascii="Arial" w:hAnsi="Arial" w:cs="Arial"/>
        </w:rPr>
        <w:t>Acting Judge of the Labour Court of South Africa</w:t>
      </w:r>
      <w:r w:rsidRPr="007D6C0F">
        <w:rPr>
          <w:rFonts w:ascii="Arial" w:hAnsi="Arial" w:cs="Arial"/>
        </w:rPr>
        <w:tab/>
        <w:t>R. A. L. Harper</w:t>
      </w:r>
    </w:p>
    <w:p w14:paraId="24722DE5" w14:textId="77777777" w:rsidR="00DF6B03" w:rsidRPr="007D6C0F" w:rsidRDefault="00DF6B03" w:rsidP="007D6C0F">
      <w:pPr>
        <w:tabs>
          <w:tab w:val="left" w:pos="2835"/>
        </w:tabs>
        <w:spacing w:after="120" w:line="360" w:lineRule="auto"/>
        <w:rPr>
          <w:rFonts w:ascii="Arial" w:hAnsi="Arial" w:cs="Arial"/>
        </w:rPr>
      </w:pPr>
    </w:p>
    <w:p w14:paraId="7187C37F" w14:textId="66DFB872" w:rsidR="005F3ADE" w:rsidRPr="007D6C0F" w:rsidRDefault="005F3ADE">
      <w:pPr>
        <w:rPr>
          <w:sz w:val="28"/>
        </w:rPr>
        <w:sectPr w:rsidR="005F3ADE" w:rsidRPr="007D6C0F" w:rsidSect="00BC1975">
          <w:headerReference w:type="default" r:id="rId9"/>
          <w:footerReference w:type="default" r:id="rId10"/>
          <w:pgSz w:w="11907" w:h="16840" w:code="9"/>
          <w:pgMar w:top="1134" w:right="1134" w:bottom="1418" w:left="1418" w:header="851" w:footer="1134"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pgNumType w:fmt="lowerRoman" w:start="1"/>
          <w:cols w:space="708"/>
          <w:docGrid w:linePitch="360"/>
        </w:sectPr>
      </w:pPr>
    </w:p>
    <w:p w14:paraId="12ACBC15" w14:textId="5809B279" w:rsidR="005F3ADE" w:rsidRPr="007D6C0F" w:rsidRDefault="00012226" w:rsidP="007D6C0F">
      <w:pPr>
        <w:pStyle w:val="Heading1"/>
        <w:ind w:hanging="426"/>
      </w:pPr>
      <w:bookmarkStart w:id="8" w:name="_Toc349293438"/>
      <w:bookmarkStart w:id="9" w:name="_Toc349293523"/>
      <w:bookmarkStart w:id="10" w:name="_Toc349293622"/>
      <w:bookmarkStart w:id="11" w:name="_Toc349545911"/>
      <w:bookmarkStart w:id="12" w:name="_Toc349547653"/>
      <w:bookmarkStart w:id="13" w:name="_Toc349554562"/>
      <w:bookmarkStart w:id="14" w:name="_Toc349554582"/>
      <w:bookmarkStart w:id="15" w:name="_Toc359331816"/>
      <w:bookmarkStart w:id="16" w:name="_Toc364237860"/>
      <w:bookmarkStart w:id="17" w:name="_Toc369678675"/>
      <w:bookmarkStart w:id="18" w:name="_Toc373499294"/>
      <w:bookmarkStart w:id="19" w:name="_Toc376503766"/>
      <w:bookmarkStart w:id="20" w:name="_Toc376503834"/>
      <w:bookmarkStart w:id="21" w:name="_Toc379463579"/>
      <w:bookmarkStart w:id="22" w:name="_Toc400955770"/>
      <w:bookmarkStart w:id="23" w:name="_Toc405901936"/>
      <w:bookmarkStart w:id="24" w:name="_Toc405902491"/>
      <w:bookmarkStart w:id="25" w:name="_Toc406075051"/>
      <w:bookmarkStart w:id="26" w:name="_Toc406075242"/>
      <w:bookmarkStart w:id="27" w:name="_Toc406133865"/>
      <w:bookmarkStart w:id="28" w:name="_Toc406135437"/>
      <w:bookmarkStart w:id="29" w:name="_Toc406135521"/>
      <w:bookmarkStart w:id="30" w:name="_Toc406136544"/>
      <w:bookmarkStart w:id="31" w:name="_Toc411245035"/>
      <w:bookmarkStart w:id="32" w:name="_Toc411245452"/>
      <w:bookmarkStart w:id="33" w:name="_Toc71276719"/>
      <w:bookmarkStart w:id="34" w:name="_Toc376938987"/>
      <w:bookmarkStart w:id="35" w:name="_Toc395687205"/>
      <w:bookmarkStart w:id="36" w:name="_Toc395691312"/>
      <w:bookmarkStart w:id="37" w:name="_Toc397017534"/>
      <w:bookmarkStart w:id="38" w:name="_Toc34929362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7D6C0F">
        <w:lastRenderedPageBreak/>
        <w:t>Introduction and background</w:t>
      </w:r>
      <w:bookmarkEnd w:id="33"/>
    </w:p>
    <w:p w14:paraId="67846532" w14:textId="7047244D" w:rsidR="007467B0" w:rsidRPr="007D6C0F" w:rsidRDefault="00EA2641" w:rsidP="007D6C0F">
      <w:pPr>
        <w:spacing w:before="120" w:after="120" w:line="360" w:lineRule="auto"/>
        <w:jc w:val="both"/>
        <w:rPr>
          <w:rFonts w:ascii="Arial" w:hAnsi="Arial" w:cs="Arial"/>
        </w:rPr>
      </w:pPr>
      <w:r w:rsidRPr="007D6C0F">
        <w:rPr>
          <w:rFonts w:ascii="Arial" w:hAnsi="Arial" w:cs="Arial"/>
        </w:rPr>
        <w:t xml:space="preserve">The labour court case </w:t>
      </w:r>
      <w:r w:rsidR="00E77DF6" w:rsidRPr="007D6C0F">
        <w:rPr>
          <w:rFonts w:ascii="Arial" w:hAnsi="Arial" w:cs="Arial"/>
        </w:rPr>
        <w:t>selected</w:t>
      </w:r>
      <w:r w:rsidRPr="007D6C0F">
        <w:rPr>
          <w:rFonts w:ascii="Arial" w:hAnsi="Arial" w:cs="Arial"/>
        </w:rPr>
        <w:t xml:space="preserve"> for this discussion is case no. JR 1906/14. The case revolves around a matter between Glencore Operations South Africa </w:t>
      </w:r>
      <w:r w:rsidR="00B579BE">
        <w:rPr>
          <w:rFonts w:ascii="Arial" w:hAnsi="Arial" w:cs="Arial"/>
        </w:rPr>
        <w:t>(</w:t>
      </w:r>
      <w:r w:rsidRPr="007D6C0F">
        <w:rPr>
          <w:rFonts w:ascii="Arial" w:hAnsi="Arial" w:cs="Arial"/>
        </w:rPr>
        <w:t>P</w:t>
      </w:r>
      <w:r w:rsidR="00407A9A">
        <w:rPr>
          <w:rFonts w:ascii="Arial" w:hAnsi="Arial" w:cs="Arial"/>
        </w:rPr>
        <w:t>ty</w:t>
      </w:r>
      <w:r w:rsidR="00B579BE">
        <w:rPr>
          <w:rFonts w:ascii="Arial" w:hAnsi="Arial" w:cs="Arial"/>
        </w:rPr>
        <w:t>)</w:t>
      </w:r>
      <w:r w:rsidRPr="007D6C0F">
        <w:rPr>
          <w:rFonts w:ascii="Arial" w:hAnsi="Arial" w:cs="Arial"/>
        </w:rPr>
        <w:t>Ltd, and Simon Maripane who was represented</w:t>
      </w:r>
      <w:r w:rsidR="00C774C2" w:rsidRPr="007D6C0F">
        <w:rPr>
          <w:rFonts w:ascii="Arial" w:hAnsi="Arial" w:cs="Arial"/>
        </w:rPr>
        <w:t xml:space="preserve"> in the proceedings</w:t>
      </w:r>
      <w:r w:rsidRPr="007D6C0F">
        <w:rPr>
          <w:rFonts w:ascii="Arial" w:hAnsi="Arial" w:cs="Arial"/>
        </w:rPr>
        <w:t xml:space="preserve"> by the National Union of Mineworkers (NUM). The matter involved a </w:t>
      </w:r>
      <w:r w:rsidR="00C774C2" w:rsidRPr="007D6C0F">
        <w:rPr>
          <w:rFonts w:ascii="Arial" w:hAnsi="Arial" w:cs="Arial"/>
        </w:rPr>
        <w:t xml:space="preserve">collective agreement between the Applicant and NUM, termination and replacement, gross insubordination, and a </w:t>
      </w:r>
      <w:r w:rsidRPr="007D6C0F">
        <w:rPr>
          <w:rFonts w:ascii="Arial" w:hAnsi="Arial" w:cs="Arial"/>
        </w:rPr>
        <w:t>supposedly unfair dismissal</w:t>
      </w:r>
      <w:r w:rsidR="00C774C2" w:rsidRPr="007D6C0F">
        <w:rPr>
          <w:rFonts w:ascii="Arial" w:hAnsi="Arial" w:cs="Arial"/>
        </w:rPr>
        <w:t>. The case</w:t>
      </w:r>
      <w:r w:rsidRPr="007D6C0F">
        <w:rPr>
          <w:rFonts w:ascii="Arial" w:hAnsi="Arial" w:cs="Arial"/>
        </w:rPr>
        <w:t xml:space="preserve"> was first </w:t>
      </w:r>
      <w:r w:rsidR="00982E11" w:rsidRPr="007D6C0F">
        <w:rPr>
          <w:rFonts w:ascii="Arial" w:hAnsi="Arial" w:cs="Arial"/>
        </w:rPr>
        <w:t xml:space="preserve">taken to the </w:t>
      </w:r>
      <w:r w:rsidR="00522423" w:rsidRPr="007D6C0F">
        <w:rPr>
          <w:rFonts w:ascii="Arial" w:hAnsi="Arial" w:cs="Arial"/>
        </w:rPr>
        <w:t>Commission for Conciliation, Mediation and Arbitration (</w:t>
      </w:r>
      <w:r w:rsidR="00982E11" w:rsidRPr="007D6C0F">
        <w:rPr>
          <w:rFonts w:ascii="Arial" w:hAnsi="Arial" w:cs="Arial"/>
        </w:rPr>
        <w:t>CCMA</w:t>
      </w:r>
      <w:r w:rsidR="00522423" w:rsidRPr="007D6C0F">
        <w:rPr>
          <w:rFonts w:ascii="Arial" w:hAnsi="Arial" w:cs="Arial"/>
        </w:rPr>
        <w:t>)</w:t>
      </w:r>
      <w:r w:rsidR="00982E11" w:rsidRPr="007D6C0F">
        <w:rPr>
          <w:rFonts w:ascii="Arial" w:hAnsi="Arial" w:cs="Arial"/>
        </w:rPr>
        <w:t xml:space="preserve"> where</w:t>
      </w:r>
      <w:r w:rsidR="00522423" w:rsidRPr="007D6C0F">
        <w:rPr>
          <w:rFonts w:ascii="Arial" w:hAnsi="Arial" w:cs="Arial"/>
        </w:rPr>
        <w:t xml:space="preserve"> the findings of</w:t>
      </w:r>
      <w:r w:rsidR="00982E11" w:rsidRPr="007D6C0F">
        <w:rPr>
          <w:rFonts w:ascii="Arial" w:hAnsi="Arial" w:cs="Arial"/>
        </w:rPr>
        <w:t xml:space="preserve"> the Arbitrator </w:t>
      </w:r>
      <w:r w:rsidR="00522423" w:rsidRPr="007D6C0F">
        <w:rPr>
          <w:rFonts w:ascii="Arial" w:hAnsi="Arial" w:cs="Arial"/>
        </w:rPr>
        <w:t>were deemed unsatisfactory by both the employer and employee involved. The case was then taken to the labour court</w:t>
      </w:r>
      <w:r w:rsidR="007467B0" w:rsidRPr="007D6C0F">
        <w:rPr>
          <w:rFonts w:ascii="Arial" w:hAnsi="Arial" w:cs="Arial"/>
        </w:rPr>
        <w:t>.</w:t>
      </w:r>
    </w:p>
    <w:p w14:paraId="6AE4D9DF" w14:textId="5AE6E6FF" w:rsidR="00C774C2" w:rsidRPr="007D6C0F" w:rsidRDefault="00F4766A" w:rsidP="007D6C0F">
      <w:pPr>
        <w:spacing w:before="120" w:after="120" w:line="360" w:lineRule="auto"/>
        <w:jc w:val="both"/>
        <w:rPr>
          <w:rFonts w:ascii="Arial" w:hAnsi="Arial" w:cs="Arial"/>
        </w:rPr>
      </w:pPr>
      <w:r w:rsidRPr="007D6C0F">
        <w:rPr>
          <w:rFonts w:ascii="Arial" w:hAnsi="Arial" w:cs="Arial"/>
        </w:rPr>
        <w:t xml:space="preserve">The Labour Relations Act 66 of 1995 </w:t>
      </w:r>
      <w:r w:rsidR="00E77DF6" w:rsidRPr="007D6C0F">
        <w:rPr>
          <w:rFonts w:ascii="Arial" w:hAnsi="Arial" w:cs="Arial"/>
        </w:rPr>
        <w:t xml:space="preserve">(LRA) </w:t>
      </w:r>
      <w:r w:rsidRPr="007D6C0F">
        <w:rPr>
          <w:rFonts w:ascii="Arial" w:hAnsi="Arial" w:cs="Arial"/>
        </w:rPr>
        <w:t xml:space="preserve">stipulates that a collective agreement is a written agreement </w:t>
      </w:r>
      <w:r w:rsidR="00D32BF0" w:rsidRPr="007D6C0F">
        <w:rPr>
          <w:rFonts w:ascii="Arial" w:hAnsi="Arial" w:cs="Arial"/>
        </w:rPr>
        <w:t>between registered trade unions and one or more employees and/or employers. This written agreement concerns the terms and conditions of employment or any other matter that may be of mutual interest to the parties involved. In this case an agreement was reach</w:t>
      </w:r>
      <w:r w:rsidR="00BD34C3">
        <w:rPr>
          <w:rFonts w:ascii="Arial" w:hAnsi="Arial" w:cs="Arial"/>
        </w:rPr>
        <w:t>ed</w:t>
      </w:r>
      <w:r w:rsidR="00D32BF0" w:rsidRPr="007D6C0F">
        <w:rPr>
          <w:rFonts w:ascii="Arial" w:hAnsi="Arial" w:cs="Arial"/>
        </w:rPr>
        <w:t xml:space="preserve"> between the employer, Glencore Operations South Africa, and the trade union, NUM, to elect and appoint a NUM member as the Health and Safety Shop Steward</w:t>
      </w:r>
      <w:r w:rsidR="00C774C2" w:rsidRPr="007D6C0F">
        <w:rPr>
          <w:rFonts w:ascii="Arial" w:hAnsi="Arial" w:cs="Arial"/>
        </w:rPr>
        <w:t xml:space="preserve"> for the organisation</w:t>
      </w:r>
      <w:r w:rsidR="00D32BF0" w:rsidRPr="007D6C0F">
        <w:rPr>
          <w:rFonts w:ascii="Arial" w:hAnsi="Arial" w:cs="Arial"/>
        </w:rPr>
        <w:t>.</w:t>
      </w:r>
      <w:r w:rsidR="002124EA" w:rsidRPr="007D6C0F">
        <w:rPr>
          <w:rFonts w:ascii="Arial" w:hAnsi="Arial" w:cs="Arial"/>
        </w:rPr>
        <w:t xml:space="preserve"> </w:t>
      </w:r>
    </w:p>
    <w:p w14:paraId="7D1B174E" w14:textId="7BB8AF54" w:rsidR="002F02EA" w:rsidRPr="007D6C0F" w:rsidRDefault="00D32BF0" w:rsidP="007D6C0F">
      <w:pPr>
        <w:spacing w:before="120" w:after="120" w:line="360" w:lineRule="auto"/>
        <w:jc w:val="both"/>
        <w:rPr>
          <w:rFonts w:ascii="Arial" w:hAnsi="Arial" w:cs="Arial"/>
        </w:rPr>
      </w:pPr>
      <w:r w:rsidRPr="007D6C0F">
        <w:rPr>
          <w:rFonts w:ascii="Arial" w:hAnsi="Arial" w:cs="Arial"/>
        </w:rPr>
        <w:t xml:space="preserve">The election was held </w:t>
      </w:r>
      <w:r w:rsidR="002124EA" w:rsidRPr="007D6C0F">
        <w:rPr>
          <w:rFonts w:ascii="Arial" w:hAnsi="Arial" w:cs="Arial"/>
        </w:rPr>
        <w:t xml:space="preserve">in 2012 </w:t>
      </w:r>
      <w:r w:rsidRPr="007D6C0F">
        <w:rPr>
          <w:rFonts w:ascii="Arial" w:hAnsi="Arial" w:cs="Arial"/>
        </w:rPr>
        <w:t>by NUM and Simon Maripane was elected</w:t>
      </w:r>
      <w:r w:rsidR="00C774C2" w:rsidRPr="007D6C0F">
        <w:rPr>
          <w:rFonts w:ascii="Arial" w:hAnsi="Arial" w:cs="Arial"/>
        </w:rPr>
        <w:t xml:space="preserve"> for the </w:t>
      </w:r>
      <w:r w:rsidR="002124EA" w:rsidRPr="007D6C0F">
        <w:rPr>
          <w:rFonts w:ascii="Arial" w:hAnsi="Arial" w:cs="Arial"/>
        </w:rPr>
        <w:t xml:space="preserve">full-time </w:t>
      </w:r>
      <w:r w:rsidR="00E37316" w:rsidRPr="007D6C0F">
        <w:rPr>
          <w:rFonts w:ascii="Arial" w:hAnsi="Arial" w:cs="Arial"/>
        </w:rPr>
        <w:t>role of Health and Safety Shop Steward. The tenure of such a position was intended to last</w:t>
      </w:r>
      <w:r w:rsidR="00C774C2" w:rsidRPr="007D6C0F">
        <w:rPr>
          <w:rFonts w:ascii="Arial" w:hAnsi="Arial" w:cs="Arial"/>
        </w:rPr>
        <w:t xml:space="preserve"> </w:t>
      </w:r>
      <w:r w:rsidR="002124EA" w:rsidRPr="007D6C0F">
        <w:rPr>
          <w:rFonts w:ascii="Arial" w:hAnsi="Arial" w:cs="Arial"/>
        </w:rPr>
        <w:t>thirty-six (</w:t>
      </w:r>
      <w:r w:rsidR="00C774C2" w:rsidRPr="007D6C0F">
        <w:rPr>
          <w:rFonts w:ascii="Arial" w:hAnsi="Arial" w:cs="Arial"/>
        </w:rPr>
        <w:t>36</w:t>
      </w:r>
      <w:r w:rsidR="002124EA" w:rsidRPr="007D6C0F">
        <w:rPr>
          <w:rFonts w:ascii="Arial" w:hAnsi="Arial" w:cs="Arial"/>
        </w:rPr>
        <w:t>)</w:t>
      </w:r>
      <w:r w:rsidR="00C774C2" w:rsidRPr="007D6C0F">
        <w:rPr>
          <w:rFonts w:ascii="Arial" w:hAnsi="Arial" w:cs="Arial"/>
        </w:rPr>
        <w:t xml:space="preserve"> months</w:t>
      </w:r>
      <w:r w:rsidRPr="007D6C0F">
        <w:rPr>
          <w:rFonts w:ascii="Arial" w:hAnsi="Arial" w:cs="Arial"/>
        </w:rPr>
        <w:t>.</w:t>
      </w:r>
      <w:r w:rsidR="00C774C2" w:rsidRPr="007D6C0F">
        <w:rPr>
          <w:rFonts w:ascii="Arial" w:hAnsi="Arial" w:cs="Arial"/>
        </w:rPr>
        <w:t xml:space="preserve"> </w:t>
      </w:r>
      <w:r w:rsidR="002124EA" w:rsidRPr="007D6C0F">
        <w:rPr>
          <w:rFonts w:ascii="Arial" w:hAnsi="Arial" w:cs="Arial"/>
        </w:rPr>
        <w:t>Subsequently, for reasons not stated in this case, NUM held another election in 2013 which resulted in the appointment of a new person in the role of Health &amp; Safety Shop Steward. The position Simon Maripane held was therefore terminated and he was replaced. In accordance with the stipulated regulations, NUM notified Glencore of the termination and replacement. In response, Glencore notified Simon Maripane of this change and that he was to return to his prior position as a raw materials operator.</w:t>
      </w:r>
      <w:r w:rsidR="00BD34C3">
        <w:rPr>
          <w:rFonts w:ascii="Arial" w:hAnsi="Arial" w:cs="Arial"/>
        </w:rPr>
        <w:t xml:space="preserve"> T</w:t>
      </w:r>
      <w:r w:rsidR="002124EA" w:rsidRPr="007D6C0F">
        <w:rPr>
          <w:rFonts w:ascii="Arial" w:hAnsi="Arial" w:cs="Arial"/>
        </w:rPr>
        <w:t xml:space="preserve">his however did not materialise as </w:t>
      </w:r>
      <w:r w:rsidR="00C774C2" w:rsidRPr="007D6C0F">
        <w:rPr>
          <w:rFonts w:ascii="Arial" w:hAnsi="Arial" w:cs="Arial"/>
        </w:rPr>
        <w:t>Simon</w:t>
      </w:r>
      <w:r w:rsidR="002124EA" w:rsidRPr="007D6C0F">
        <w:rPr>
          <w:rFonts w:ascii="Arial" w:hAnsi="Arial" w:cs="Arial"/>
        </w:rPr>
        <w:t xml:space="preserve"> Maripane</w:t>
      </w:r>
      <w:r w:rsidR="00C774C2" w:rsidRPr="007D6C0F">
        <w:rPr>
          <w:rFonts w:ascii="Arial" w:hAnsi="Arial" w:cs="Arial"/>
        </w:rPr>
        <w:t xml:space="preserve"> refused</w:t>
      </w:r>
      <w:r w:rsidR="002F02EA" w:rsidRPr="007D6C0F">
        <w:rPr>
          <w:rFonts w:ascii="Arial" w:hAnsi="Arial" w:cs="Arial"/>
        </w:rPr>
        <w:t>,</w:t>
      </w:r>
      <w:r w:rsidR="00C774C2" w:rsidRPr="007D6C0F">
        <w:rPr>
          <w:rFonts w:ascii="Arial" w:hAnsi="Arial" w:cs="Arial"/>
        </w:rPr>
        <w:t xml:space="preserve"> </w:t>
      </w:r>
      <w:r w:rsidR="002F02EA" w:rsidRPr="007D6C0F">
        <w:rPr>
          <w:rFonts w:ascii="Arial" w:hAnsi="Arial" w:cs="Arial"/>
        </w:rPr>
        <w:t xml:space="preserve">even with three attempts by Glencore representatives explaining to him that disciplinary action would follow due to misconduct and insubordination. </w:t>
      </w:r>
      <w:r w:rsidR="002F02EA" w:rsidRPr="000116DB">
        <w:rPr>
          <w:rFonts w:ascii="Arial" w:hAnsi="Arial" w:cs="Arial"/>
        </w:rPr>
        <w:t>Discipline is the action initiated by management to maintain a sound employment relationship by directing employee behaviour through corrective action towards acceptable conduct within a system of established Company rules. It furthermore serves to prevent the occurrence, spread and recurrence of misconduct, infringements and serious malpractice that are contrary to the interests of the Company and its employees</w:t>
      </w:r>
      <w:r w:rsidR="002F02EA" w:rsidRPr="007D6C0F">
        <w:rPr>
          <w:rFonts w:ascii="Arial" w:hAnsi="Arial" w:cs="Arial"/>
        </w:rPr>
        <w:t>.</w:t>
      </w:r>
    </w:p>
    <w:p w14:paraId="6F364E42" w14:textId="7762A6C3" w:rsidR="002F02EA" w:rsidRPr="007D6C0F" w:rsidRDefault="00BD34C3" w:rsidP="007D6C0F">
      <w:pPr>
        <w:spacing w:before="120" w:after="120" w:line="360" w:lineRule="auto"/>
        <w:jc w:val="both"/>
        <w:rPr>
          <w:rFonts w:ascii="Arial" w:hAnsi="Arial" w:cs="Arial"/>
        </w:rPr>
      </w:pPr>
      <w:r>
        <w:rPr>
          <w:rFonts w:ascii="Arial" w:hAnsi="Arial" w:cs="Arial"/>
        </w:rPr>
        <w:lastRenderedPageBreak/>
        <w:t>Mr. Maripane’s</w:t>
      </w:r>
      <w:r w:rsidR="00C774C2" w:rsidRPr="007D6C0F">
        <w:rPr>
          <w:rFonts w:ascii="Arial" w:hAnsi="Arial" w:cs="Arial"/>
        </w:rPr>
        <w:t xml:space="preserve"> r</w:t>
      </w:r>
      <w:r w:rsidR="007467B0" w:rsidRPr="007D6C0F">
        <w:rPr>
          <w:rFonts w:ascii="Arial" w:hAnsi="Arial" w:cs="Arial"/>
        </w:rPr>
        <w:t>efusal or failure to assume position</w:t>
      </w:r>
      <w:r w:rsidR="00C774C2" w:rsidRPr="007D6C0F">
        <w:rPr>
          <w:rFonts w:ascii="Arial" w:hAnsi="Arial" w:cs="Arial"/>
        </w:rPr>
        <w:t xml:space="preserve">, even after numerous warnings, resulted in Glencore </w:t>
      </w:r>
      <w:r w:rsidR="002F02EA" w:rsidRPr="007D6C0F">
        <w:rPr>
          <w:rFonts w:ascii="Arial" w:hAnsi="Arial" w:cs="Arial"/>
        </w:rPr>
        <w:t>calling a disciplinary hearing</w:t>
      </w:r>
      <w:r w:rsidR="00C774C2" w:rsidRPr="007D6C0F">
        <w:rPr>
          <w:rFonts w:ascii="Arial" w:hAnsi="Arial" w:cs="Arial"/>
        </w:rPr>
        <w:t xml:space="preserve">. </w:t>
      </w:r>
      <w:r w:rsidR="002124EA" w:rsidRPr="007D6C0F">
        <w:rPr>
          <w:rFonts w:ascii="Arial" w:hAnsi="Arial" w:cs="Arial"/>
        </w:rPr>
        <w:t xml:space="preserve">During </w:t>
      </w:r>
      <w:r w:rsidR="002F02EA" w:rsidRPr="007D6C0F">
        <w:rPr>
          <w:rFonts w:ascii="Arial" w:hAnsi="Arial" w:cs="Arial"/>
        </w:rPr>
        <w:t>the</w:t>
      </w:r>
      <w:r w:rsidR="002124EA" w:rsidRPr="007D6C0F">
        <w:rPr>
          <w:rFonts w:ascii="Arial" w:hAnsi="Arial" w:cs="Arial"/>
        </w:rPr>
        <w:t xml:space="preserve"> disciplinary hearing, </w:t>
      </w:r>
      <w:r>
        <w:rPr>
          <w:rFonts w:ascii="Arial" w:hAnsi="Arial" w:cs="Arial"/>
        </w:rPr>
        <w:t>Mr.</w:t>
      </w:r>
      <w:r w:rsidR="002F02EA" w:rsidRPr="007D6C0F">
        <w:rPr>
          <w:rFonts w:ascii="Arial" w:hAnsi="Arial" w:cs="Arial"/>
        </w:rPr>
        <w:t xml:space="preserve"> Maripane</w:t>
      </w:r>
      <w:r w:rsidR="002124EA" w:rsidRPr="007D6C0F">
        <w:rPr>
          <w:rFonts w:ascii="Arial" w:hAnsi="Arial" w:cs="Arial"/>
        </w:rPr>
        <w:t xml:space="preserve"> was found guilty of gross insubordination and subsequently dismissed. </w:t>
      </w:r>
      <w:r w:rsidR="002F02EA" w:rsidRPr="007D6C0F">
        <w:rPr>
          <w:rFonts w:ascii="Arial" w:hAnsi="Arial" w:cs="Arial"/>
        </w:rPr>
        <w:t>Gross insubordination is defined as behaviour within the workplace that demonstrates a lack of adherence to one’s obligations which can result in loss (Van Wyk, 2021). Prior to dismissal, the employer must ensure that the disciplinary rules of the organisation are followed in accordance with the Labour Relations Act 66 of 1995. According to this act, the approach used for disciplinary actions should be to correct employees’ behaviour through a graduated system of disciplinary measures such as counselling and warnings. Glencore did act in accordance with the LRA.</w:t>
      </w:r>
    </w:p>
    <w:p w14:paraId="252CC00A" w14:textId="2366CA79" w:rsidR="002F02EA" w:rsidRPr="007D6C0F" w:rsidRDefault="00BD34C3" w:rsidP="007D6C0F">
      <w:pPr>
        <w:spacing w:before="120" w:after="120" w:line="360" w:lineRule="auto"/>
        <w:jc w:val="both"/>
        <w:rPr>
          <w:rFonts w:ascii="Arial" w:hAnsi="Arial" w:cs="Arial"/>
        </w:rPr>
      </w:pPr>
      <w:r>
        <w:rPr>
          <w:rFonts w:ascii="Arial" w:hAnsi="Arial" w:cs="Arial"/>
        </w:rPr>
        <w:t>Mr. Maripane’s</w:t>
      </w:r>
      <w:r w:rsidR="002124EA" w:rsidRPr="007D6C0F">
        <w:rPr>
          <w:rFonts w:ascii="Arial" w:hAnsi="Arial" w:cs="Arial"/>
        </w:rPr>
        <w:t xml:space="preserve"> attempt to appeal the decision was futile, and the route of engaging with the CCMA was then followed.</w:t>
      </w:r>
      <w:r w:rsidR="002F02EA" w:rsidRPr="007D6C0F">
        <w:rPr>
          <w:rFonts w:ascii="Arial" w:hAnsi="Arial" w:cs="Arial"/>
        </w:rPr>
        <w:t xml:space="preserve"> The Arbitrator at the CCMA deemed the dismissal unfair and instructed that </w:t>
      </w:r>
      <w:r w:rsidR="003831AE">
        <w:rPr>
          <w:rFonts w:ascii="Arial" w:hAnsi="Arial" w:cs="Arial"/>
        </w:rPr>
        <w:t>Mr.</w:t>
      </w:r>
      <w:r w:rsidR="002F02EA" w:rsidRPr="007D6C0F">
        <w:rPr>
          <w:rFonts w:ascii="Arial" w:hAnsi="Arial" w:cs="Arial"/>
        </w:rPr>
        <w:t xml:space="preserve"> Maripane be reinstated. Further to the reinstatement was to award the First Respondent with seven months of back-pay and to issue a final written warning.</w:t>
      </w:r>
    </w:p>
    <w:p w14:paraId="43E9FC1E" w14:textId="24352199" w:rsidR="00E37316" w:rsidRPr="007D6C0F" w:rsidRDefault="00E37316" w:rsidP="007D6C0F">
      <w:pPr>
        <w:spacing w:before="120" w:after="120" w:line="360" w:lineRule="auto"/>
        <w:jc w:val="both"/>
        <w:rPr>
          <w:rFonts w:ascii="Arial" w:hAnsi="Arial" w:cs="Arial"/>
        </w:rPr>
      </w:pPr>
      <w:r w:rsidRPr="007D6C0F">
        <w:rPr>
          <w:rFonts w:ascii="Arial" w:hAnsi="Arial" w:cs="Arial"/>
        </w:rPr>
        <w:t>The Applicant (Glencore Operations South Africa) lodged a review application against the judgement passed by the Arbitrator</w:t>
      </w:r>
      <w:r w:rsidR="00BD34C3">
        <w:rPr>
          <w:rFonts w:ascii="Arial" w:hAnsi="Arial" w:cs="Arial"/>
        </w:rPr>
        <w:t xml:space="preserve"> who ruled</w:t>
      </w:r>
      <w:r w:rsidRPr="007D6C0F">
        <w:rPr>
          <w:rFonts w:ascii="Arial" w:hAnsi="Arial" w:cs="Arial"/>
        </w:rPr>
        <w:t xml:space="preserve"> to reinstate the First Respondent (Simon Maripane) </w:t>
      </w:r>
      <w:r w:rsidR="00BD34C3">
        <w:rPr>
          <w:rFonts w:ascii="Arial" w:hAnsi="Arial" w:cs="Arial"/>
        </w:rPr>
        <w:t xml:space="preserve">after </w:t>
      </w:r>
      <w:r w:rsidR="00313EC2">
        <w:rPr>
          <w:rFonts w:ascii="Arial" w:hAnsi="Arial" w:cs="Arial"/>
        </w:rPr>
        <w:t xml:space="preserve">initially being dismissed </w:t>
      </w:r>
      <w:r w:rsidRPr="007D6C0F">
        <w:rPr>
          <w:rFonts w:ascii="Arial" w:hAnsi="Arial" w:cs="Arial"/>
        </w:rPr>
        <w:t xml:space="preserve">by the Applicant. </w:t>
      </w:r>
    </w:p>
    <w:p w14:paraId="26B3A609" w14:textId="4F562868" w:rsidR="00012226" w:rsidRPr="000116DB" w:rsidRDefault="00320C6C" w:rsidP="007D6C0F">
      <w:pPr>
        <w:spacing w:before="120" w:after="120" w:line="360" w:lineRule="auto"/>
        <w:jc w:val="both"/>
        <w:rPr>
          <w:rFonts w:ascii="Arial" w:hAnsi="Arial" w:cs="Arial"/>
        </w:rPr>
      </w:pPr>
      <w:r w:rsidRPr="007D6C0F">
        <w:rPr>
          <w:rFonts w:ascii="Arial" w:hAnsi="Arial" w:cs="Arial"/>
        </w:rPr>
        <w:t>The Applicant</w:t>
      </w:r>
      <w:r w:rsidR="00012226" w:rsidRPr="007D6C0F">
        <w:rPr>
          <w:rFonts w:ascii="Arial" w:hAnsi="Arial" w:cs="Arial"/>
        </w:rPr>
        <w:t xml:space="preserve"> followed a natural progression in terms of a typical disciplinary procedure whereby engagement was first held with the First Respondent. It can be deduced that the act of counselling places an emphasis on correcting the undesirable behaviour or substandard performance. Where counselling has failed to achieve the desired result, it will lead to written warnings being issued. </w:t>
      </w:r>
      <w:r w:rsidR="00012226" w:rsidRPr="000116DB">
        <w:rPr>
          <w:rFonts w:ascii="Arial" w:hAnsi="Arial" w:cs="Arial"/>
        </w:rPr>
        <w:t>No formal hearing must be convened for a counselling session however the employee still has the right to be represented during a counselling session.</w:t>
      </w:r>
    </w:p>
    <w:p w14:paraId="657BADFA" w14:textId="2FE8E840" w:rsidR="00012226" w:rsidRPr="007D6C0F" w:rsidRDefault="00012226" w:rsidP="007D6C0F">
      <w:pPr>
        <w:spacing w:before="120" w:after="120" w:line="360" w:lineRule="auto"/>
        <w:jc w:val="both"/>
        <w:rPr>
          <w:rFonts w:ascii="Arial" w:hAnsi="Arial" w:cs="Arial"/>
        </w:rPr>
      </w:pPr>
      <w:r w:rsidRPr="000116DB">
        <w:rPr>
          <w:rFonts w:ascii="Arial" w:hAnsi="Arial" w:cs="Arial"/>
        </w:rPr>
        <w:t>The taking of appropriate disciplinary action is an indefeasible right of any supervisor and manager in the Company where a subordinate employee has acted in a manner prejudicial to the interests of the Company or in breach of Company standards.</w:t>
      </w:r>
    </w:p>
    <w:p w14:paraId="54CE3C04" w14:textId="650CC211" w:rsidR="00012226" w:rsidRPr="007D6C0F" w:rsidRDefault="00012226" w:rsidP="007D6C0F">
      <w:pPr>
        <w:spacing w:before="120" w:after="120" w:line="360" w:lineRule="auto"/>
        <w:jc w:val="both"/>
        <w:rPr>
          <w:rFonts w:ascii="Arial" w:hAnsi="Arial" w:cs="Arial"/>
        </w:rPr>
      </w:pPr>
      <w:r w:rsidRPr="007D6C0F">
        <w:rPr>
          <w:rFonts w:ascii="Arial" w:hAnsi="Arial" w:cs="Arial"/>
        </w:rPr>
        <w:t>In this case it can be clearly demonstrated that the First Respondent has been unwilling by way of attitude, words and/or deeds, to obey, accept, or execute a lawful and reasonable instruction from the Applicant.</w:t>
      </w:r>
    </w:p>
    <w:p w14:paraId="02EA4F42" w14:textId="1F702C75" w:rsidR="00012226" w:rsidRPr="00407A9A" w:rsidRDefault="00E37316" w:rsidP="00407A9A">
      <w:pPr>
        <w:spacing w:before="120" w:after="120" w:line="360" w:lineRule="auto"/>
        <w:jc w:val="both"/>
        <w:rPr>
          <w:rFonts w:ascii="Arial" w:hAnsi="Arial" w:cs="Arial"/>
        </w:rPr>
      </w:pPr>
      <w:r w:rsidRPr="007D6C0F">
        <w:rPr>
          <w:rFonts w:ascii="Arial" w:hAnsi="Arial" w:cs="Arial"/>
        </w:rPr>
        <w:t>The remainder of this discussion revolves around the labour court case that followed arbitration.</w:t>
      </w:r>
    </w:p>
    <w:p w14:paraId="7108740A" w14:textId="7EC6560C" w:rsidR="00012226" w:rsidRDefault="00012226" w:rsidP="007D6C0F">
      <w:pPr>
        <w:pStyle w:val="Heading1"/>
      </w:pPr>
      <w:bookmarkStart w:id="39" w:name="_Toc71276720"/>
      <w:bookmarkEnd w:id="34"/>
      <w:bookmarkEnd w:id="35"/>
      <w:bookmarkEnd w:id="36"/>
      <w:bookmarkEnd w:id="37"/>
      <w:r>
        <w:lastRenderedPageBreak/>
        <w:t>Transgression description</w:t>
      </w:r>
      <w:bookmarkEnd w:id="39"/>
    </w:p>
    <w:p w14:paraId="68696727" w14:textId="7BC3D935" w:rsidR="00012226" w:rsidRPr="007D6C0F" w:rsidRDefault="00012226" w:rsidP="007D6C0F">
      <w:pPr>
        <w:spacing w:after="120" w:line="360" w:lineRule="auto"/>
        <w:jc w:val="both"/>
        <w:rPr>
          <w:sz w:val="28"/>
          <w:szCs w:val="28"/>
        </w:rPr>
      </w:pPr>
      <w:r w:rsidRPr="007D6C0F">
        <w:rPr>
          <w:rFonts w:ascii="Arial" w:hAnsi="Arial" w:cs="Arial"/>
        </w:rPr>
        <w:t xml:space="preserve">The case involving Glencore, the </w:t>
      </w:r>
      <w:r w:rsidR="00522423" w:rsidRPr="007D6C0F">
        <w:rPr>
          <w:rFonts w:ascii="Arial" w:hAnsi="Arial" w:cs="Arial"/>
        </w:rPr>
        <w:t>CCMA,</w:t>
      </w:r>
      <w:r w:rsidRPr="007D6C0F">
        <w:rPr>
          <w:rFonts w:ascii="Arial" w:hAnsi="Arial" w:cs="Arial"/>
        </w:rPr>
        <w:t xml:space="preserve"> and Mr. S</w:t>
      </w:r>
      <w:r w:rsidR="00B009A8" w:rsidRPr="007D6C0F">
        <w:rPr>
          <w:rFonts w:ascii="Arial" w:hAnsi="Arial" w:cs="Arial"/>
        </w:rPr>
        <w:t>.</w:t>
      </w:r>
      <w:r w:rsidRPr="007D6C0F">
        <w:rPr>
          <w:rFonts w:ascii="Arial" w:hAnsi="Arial" w:cs="Arial"/>
        </w:rPr>
        <w:t xml:space="preserve"> Maripane as heard by the Labour Court in September 2016 deals with the transgression of gross insubordination. The case, interestingly, deals with the typical initial consequences of gross insubordination and then with the legal avenues available to the parties concerned.</w:t>
      </w:r>
    </w:p>
    <w:p w14:paraId="2EA71F55" w14:textId="21A085C6" w:rsidR="00012226" w:rsidRPr="007D6C0F" w:rsidRDefault="00C774C2" w:rsidP="007D6C0F">
      <w:pPr>
        <w:spacing w:after="120" w:line="360" w:lineRule="auto"/>
        <w:jc w:val="both"/>
        <w:rPr>
          <w:sz w:val="28"/>
          <w:szCs w:val="28"/>
        </w:rPr>
      </w:pPr>
      <w:r w:rsidRPr="007D6C0F">
        <w:rPr>
          <w:rFonts w:ascii="Arial" w:hAnsi="Arial" w:cs="Arial"/>
        </w:rPr>
        <w:t xml:space="preserve">As mentioned above, </w:t>
      </w:r>
      <w:r w:rsidR="00012226" w:rsidRPr="007D6C0F">
        <w:rPr>
          <w:rFonts w:ascii="Arial" w:hAnsi="Arial" w:cs="Arial"/>
        </w:rPr>
        <w:t>‘</w:t>
      </w:r>
      <w:r w:rsidRPr="007D6C0F">
        <w:rPr>
          <w:rFonts w:ascii="Arial" w:hAnsi="Arial" w:cs="Arial"/>
        </w:rPr>
        <w:t>g</w:t>
      </w:r>
      <w:r w:rsidR="00012226" w:rsidRPr="007D6C0F">
        <w:rPr>
          <w:rFonts w:ascii="Arial" w:hAnsi="Arial" w:cs="Arial"/>
        </w:rPr>
        <w:t>ross’ as referred to in the term ‘gross insubordination’ means behaviour within the workplace that is of such a reckless nature that it demonstrates a clear lack of adherence to one’s obligations and could or does result in injury or loss (</w:t>
      </w:r>
      <w:r w:rsidR="00B009A8" w:rsidRPr="007D6C0F">
        <w:rPr>
          <w:rFonts w:ascii="Arial" w:hAnsi="Arial" w:cs="Arial"/>
        </w:rPr>
        <w:t>V</w:t>
      </w:r>
      <w:r w:rsidR="00012226" w:rsidRPr="007D6C0F">
        <w:rPr>
          <w:rFonts w:ascii="Arial" w:hAnsi="Arial" w:cs="Arial"/>
        </w:rPr>
        <w:t>an Wyk, 2021).</w:t>
      </w:r>
    </w:p>
    <w:p w14:paraId="34FE12ED" w14:textId="2E1B82AC" w:rsidR="00012226" w:rsidRPr="007D6C0F" w:rsidRDefault="00012226" w:rsidP="007D6C0F">
      <w:pPr>
        <w:spacing w:after="120" w:line="360" w:lineRule="auto"/>
        <w:jc w:val="both"/>
        <w:rPr>
          <w:sz w:val="28"/>
          <w:szCs w:val="28"/>
        </w:rPr>
      </w:pPr>
      <w:r w:rsidRPr="007D6C0F">
        <w:rPr>
          <w:rFonts w:ascii="Arial" w:hAnsi="Arial" w:cs="Arial"/>
        </w:rPr>
        <w:t xml:space="preserve">Gross insubordination entails refusal to carry out an instruction or a set of instructions. For gross insubordination to be relevant the instruction/s must satisfy certain criteria. The following criteria </w:t>
      </w:r>
      <w:r w:rsidR="00B009A8" w:rsidRPr="007D6C0F">
        <w:rPr>
          <w:rFonts w:ascii="Arial" w:hAnsi="Arial" w:cs="Arial"/>
        </w:rPr>
        <w:t>are</w:t>
      </w:r>
      <w:r w:rsidRPr="007D6C0F">
        <w:rPr>
          <w:rFonts w:ascii="Arial" w:hAnsi="Arial" w:cs="Arial"/>
        </w:rPr>
        <w:t xml:space="preserve"> to be satisfied</w:t>
      </w:r>
      <w:r w:rsidR="00B009A8" w:rsidRPr="007D6C0F">
        <w:rPr>
          <w:rFonts w:ascii="Arial" w:hAnsi="Arial" w:cs="Arial"/>
        </w:rPr>
        <w:t xml:space="preserve">; </w:t>
      </w:r>
      <w:r w:rsidRPr="007D6C0F">
        <w:rPr>
          <w:rFonts w:ascii="Arial" w:hAnsi="Arial" w:cs="Arial"/>
        </w:rPr>
        <w:t>the instruction must be clear as given by the employer or manager (the employees must be aware of what is required of them)</w:t>
      </w:r>
      <w:r w:rsidR="00B009A8" w:rsidRPr="007D6C0F">
        <w:rPr>
          <w:rFonts w:ascii="Arial" w:hAnsi="Arial" w:cs="Arial"/>
        </w:rPr>
        <w:t xml:space="preserve">, and </w:t>
      </w:r>
      <w:r w:rsidRPr="007D6C0F">
        <w:rPr>
          <w:rFonts w:ascii="Arial" w:hAnsi="Arial" w:cs="Arial"/>
        </w:rPr>
        <w:t>the instruction must be fair and lawful (the employee/s should be able to carry out the instruction and it should be legal to do so) (</w:t>
      </w:r>
      <w:r w:rsidR="00B009A8" w:rsidRPr="007D6C0F">
        <w:rPr>
          <w:rFonts w:ascii="Arial" w:hAnsi="Arial" w:cs="Arial"/>
        </w:rPr>
        <w:t>V</w:t>
      </w:r>
      <w:r w:rsidRPr="007D6C0F">
        <w:rPr>
          <w:rFonts w:ascii="Arial" w:hAnsi="Arial" w:cs="Arial"/>
        </w:rPr>
        <w:t>an Wyk, 2021).</w:t>
      </w:r>
    </w:p>
    <w:p w14:paraId="1228DFC6" w14:textId="64C3C8FD" w:rsidR="00012226" w:rsidRPr="007D6C0F" w:rsidRDefault="00592423" w:rsidP="007D6C0F">
      <w:pPr>
        <w:spacing w:after="120" w:line="360" w:lineRule="auto"/>
        <w:jc w:val="both"/>
        <w:rPr>
          <w:rFonts w:ascii="Arial" w:hAnsi="Arial" w:cs="Arial"/>
        </w:rPr>
      </w:pPr>
      <w:r w:rsidRPr="007D6C0F">
        <w:rPr>
          <w:rFonts w:ascii="Arial" w:hAnsi="Arial" w:cs="Arial"/>
        </w:rPr>
        <w:t xml:space="preserve">Following the election and placement of a new Health and Safety Shop Steward in 2013, the First Respondent was instructed by both </w:t>
      </w:r>
      <w:r w:rsidR="00012226" w:rsidRPr="007D6C0F">
        <w:rPr>
          <w:rFonts w:ascii="Arial" w:hAnsi="Arial" w:cs="Arial"/>
        </w:rPr>
        <w:t xml:space="preserve">NUM and the Applicant to return to his previous position as </w:t>
      </w:r>
      <w:r w:rsidRPr="007D6C0F">
        <w:rPr>
          <w:rFonts w:ascii="Arial" w:hAnsi="Arial" w:cs="Arial"/>
        </w:rPr>
        <w:t>r</w:t>
      </w:r>
      <w:r w:rsidR="00012226" w:rsidRPr="007D6C0F">
        <w:rPr>
          <w:rFonts w:ascii="Arial" w:hAnsi="Arial" w:cs="Arial"/>
        </w:rPr>
        <w:t xml:space="preserve">aw </w:t>
      </w:r>
      <w:r w:rsidRPr="007D6C0F">
        <w:rPr>
          <w:rFonts w:ascii="Arial" w:hAnsi="Arial" w:cs="Arial"/>
        </w:rPr>
        <w:t>m</w:t>
      </w:r>
      <w:r w:rsidR="00012226" w:rsidRPr="007D6C0F">
        <w:rPr>
          <w:rFonts w:ascii="Arial" w:hAnsi="Arial" w:cs="Arial"/>
        </w:rPr>
        <w:t xml:space="preserve">aterials </w:t>
      </w:r>
      <w:r w:rsidRPr="007D6C0F">
        <w:rPr>
          <w:rFonts w:ascii="Arial" w:hAnsi="Arial" w:cs="Arial"/>
        </w:rPr>
        <w:t>o</w:t>
      </w:r>
      <w:r w:rsidR="00012226" w:rsidRPr="007D6C0F">
        <w:rPr>
          <w:rFonts w:ascii="Arial" w:hAnsi="Arial" w:cs="Arial"/>
        </w:rPr>
        <w:t xml:space="preserve">perator. </w:t>
      </w:r>
      <w:r w:rsidRPr="007D6C0F">
        <w:rPr>
          <w:rFonts w:ascii="Arial" w:hAnsi="Arial" w:cs="Arial"/>
        </w:rPr>
        <w:t>The First Respondent refused this instruction under the premise that he was seeking clarification from NUM regarding the election.</w:t>
      </w:r>
    </w:p>
    <w:p w14:paraId="451D61F5" w14:textId="1534EF92" w:rsidR="00012226" w:rsidRPr="007D6C0F" w:rsidRDefault="00592423" w:rsidP="007D6C0F">
      <w:pPr>
        <w:spacing w:after="120" w:line="360" w:lineRule="auto"/>
        <w:jc w:val="both"/>
        <w:rPr>
          <w:sz w:val="28"/>
          <w:szCs w:val="28"/>
        </w:rPr>
      </w:pPr>
      <w:r w:rsidRPr="007D6C0F">
        <w:rPr>
          <w:rFonts w:ascii="Arial" w:hAnsi="Arial" w:cs="Arial"/>
        </w:rPr>
        <w:t>I</w:t>
      </w:r>
      <w:r w:rsidR="00012226" w:rsidRPr="007D6C0F">
        <w:rPr>
          <w:rFonts w:ascii="Arial" w:hAnsi="Arial" w:cs="Arial"/>
        </w:rPr>
        <w:t>n December 2013</w:t>
      </w:r>
      <w:r w:rsidRPr="007D6C0F">
        <w:rPr>
          <w:rFonts w:ascii="Arial" w:hAnsi="Arial" w:cs="Arial"/>
        </w:rPr>
        <w:t>, the Applicant</w:t>
      </w:r>
      <w:r w:rsidR="00012226" w:rsidRPr="007D6C0F">
        <w:rPr>
          <w:rFonts w:ascii="Arial" w:hAnsi="Arial" w:cs="Arial"/>
        </w:rPr>
        <w:t xml:space="preserve"> issued </w:t>
      </w:r>
      <w:r w:rsidR="00E252FA" w:rsidRPr="007D6C0F">
        <w:rPr>
          <w:rFonts w:ascii="Arial" w:hAnsi="Arial" w:cs="Arial"/>
        </w:rPr>
        <w:t>the First Respondent</w:t>
      </w:r>
      <w:r w:rsidR="00012226" w:rsidRPr="007D6C0F">
        <w:rPr>
          <w:rFonts w:ascii="Arial" w:hAnsi="Arial" w:cs="Arial"/>
        </w:rPr>
        <w:t xml:space="preserve"> with a warning of disciplinary action should he continue to refuse instruction and later in January 2014 found him guilty of gross insubordination </w:t>
      </w:r>
      <w:r w:rsidRPr="007D6C0F">
        <w:rPr>
          <w:rFonts w:ascii="Arial" w:hAnsi="Arial" w:cs="Arial"/>
        </w:rPr>
        <w:t xml:space="preserve">which was </w:t>
      </w:r>
      <w:r w:rsidR="00012226" w:rsidRPr="007D6C0F">
        <w:rPr>
          <w:rFonts w:ascii="Arial" w:hAnsi="Arial" w:cs="Arial"/>
        </w:rPr>
        <w:t>followed by the termination of his employment.</w:t>
      </w:r>
    </w:p>
    <w:p w14:paraId="1343C23B" w14:textId="77777777" w:rsidR="00012226" w:rsidRPr="007D6C0F" w:rsidRDefault="00012226" w:rsidP="007D6C0F">
      <w:pPr>
        <w:spacing w:after="120" w:line="360" w:lineRule="auto"/>
        <w:jc w:val="both"/>
        <w:rPr>
          <w:sz w:val="28"/>
          <w:szCs w:val="28"/>
        </w:rPr>
      </w:pPr>
      <w:r w:rsidRPr="007D6C0F">
        <w:rPr>
          <w:rFonts w:ascii="Arial" w:hAnsi="Arial" w:cs="Arial"/>
        </w:rPr>
        <w:t>The events that followed the dismissal, as elaborated on later in the facts of the case, are systematically outlined and summarized as follows:</w:t>
      </w:r>
    </w:p>
    <w:p w14:paraId="70B988D5" w14:textId="77777777" w:rsidR="00407A9A" w:rsidRPr="00407A9A" w:rsidRDefault="00012226" w:rsidP="00407A9A">
      <w:pPr>
        <w:pStyle w:val="ListParagraph"/>
        <w:numPr>
          <w:ilvl w:val="0"/>
          <w:numId w:val="31"/>
        </w:numPr>
        <w:spacing w:after="120" w:line="240" w:lineRule="auto"/>
        <w:ind w:left="425" w:hanging="357"/>
        <w:rPr>
          <w:sz w:val="28"/>
          <w:szCs w:val="28"/>
        </w:rPr>
      </w:pPr>
      <w:r w:rsidRPr="00407A9A">
        <w:rPr>
          <w:rFonts w:ascii="Arial" w:hAnsi="Arial" w:cs="Arial"/>
        </w:rPr>
        <w:t>Mr. Maripane referred a dispute to the CCMA.</w:t>
      </w:r>
    </w:p>
    <w:p w14:paraId="64325661" w14:textId="77777777" w:rsidR="00407A9A" w:rsidRPr="00407A9A" w:rsidRDefault="00012226" w:rsidP="00407A9A">
      <w:pPr>
        <w:pStyle w:val="ListParagraph"/>
        <w:numPr>
          <w:ilvl w:val="0"/>
          <w:numId w:val="31"/>
        </w:numPr>
        <w:spacing w:after="120" w:line="240" w:lineRule="auto"/>
        <w:ind w:left="425" w:hanging="357"/>
        <w:rPr>
          <w:sz w:val="28"/>
          <w:szCs w:val="28"/>
        </w:rPr>
      </w:pPr>
      <w:r w:rsidRPr="00407A9A">
        <w:rPr>
          <w:rFonts w:ascii="Arial" w:hAnsi="Arial" w:cs="Arial"/>
        </w:rPr>
        <w:t xml:space="preserve">Arbitration by the CCMA. Mr. Maripane </w:t>
      </w:r>
      <w:r w:rsidR="00592423" w:rsidRPr="00407A9A">
        <w:rPr>
          <w:rFonts w:ascii="Arial" w:hAnsi="Arial" w:cs="Arial"/>
        </w:rPr>
        <w:t xml:space="preserve">was </w:t>
      </w:r>
      <w:r w:rsidRPr="00407A9A">
        <w:rPr>
          <w:rFonts w:ascii="Arial" w:hAnsi="Arial" w:cs="Arial"/>
        </w:rPr>
        <w:t xml:space="preserve">awarded ‘back pay’ and reinstated as </w:t>
      </w:r>
      <w:r w:rsidR="00592423" w:rsidRPr="00407A9A">
        <w:rPr>
          <w:rFonts w:ascii="Arial" w:hAnsi="Arial" w:cs="Arial"/>
        </w:rPr>
        <w:t>a r</w:t>
      </w:r>
      <w:r w:rsidRPr="00407A9A">
        <w:rPr>
          <w:rFonts w:ascii="Arial" w:hAnsi="Arial" w:cs="Arial"/>
        </w:rPr>
        <w:t xml:space="preserve">aw </w:t>
      </w:r>
      <w:r w:rsidR="00592423" w:rsidRPr="00407A9A">
        <w:rPr>
          <w:rFonts w:ascii="Arial" w:hAnsi="Arial" w:cs="Arial"/>
        </w:rPr>
        <w:t>m</w:t>
      </w:r>
      <w:r w:rsidRPr="00407A9A">
        <w:rPr>
          <w:rFonts w:ascii="Arial" w:hAnsi="Arial" w:cs="Arial"/>
        </w:rPr>
        <w:t xml:space="preserve">aterials </w:t>
      </w:r>
      <w:r w:rsidR="00592423" w:rsidRPr="00407A9A">
        <w:rPr>
          <w:rFonts w:ascii="Arial" w:hAnsi="Arial" w:cs="Arial"/>
        </w:rPr>
        <w:t>o</w:t>
      </w:r>
      <w:r w:rsidRPr="00407A9A">
        <w:rPr>
          <w:rFonts w:ascii="Arial" w:hAnsi="Arial" w:cs="Arial"/>
        </w:rPr>
        <w:t>perator.</w:t>
      </w:r>
    </w:p>
    <w:p w14:paraId="3A225A3A" w14:textId="77777777" w:rsidR="00407A9A" w:rsidRPr="00407A9A" w:rsidRDefault="00012226" w:rsidP="00407A9A">
      <w:pPr>
        <w:pStyle w:val="ListParagraph"/>
        <w:numPr>
          <w:ilvl w:val="0"/>
          <w:numId w:val="31"/>
        </w:numPr>
        <w:spacing w:after="120" w:line="240" w:lineRule="auto"/>
        <w:ind w:left="425" w:hanging="357"/>
        <w:rPr>
          <w:sz w:val="28"/>
          <w:szCs w:val="28"/>
        </w:rPr>
      </w:pPr>
      <w:r w:rsidRPr="00407A9A">
        <w:rPr>
          <w:rFonts w:ascii="Arial" w:hAnsi="Arial" w:cs="Arial"/>
        </w:rPr>
        <w:t>Review Application to the Labour Court of the Arbitration Award by Glencore.</w:t>
      </w:r>
    </w:p>
    <w:p w14:paraId="061EDDDA" w14:textId="723A1AC8" w:rsidR="00012226" w:rsidRPr="00407A9A" w:rsidRDefault="00012226" w:rsidP="00407A9A">
      <w:pPr>
        <w:pStyle w:val="ListParagraph"/>
        <w:numPr>
          <w:ilvl w:val="0"/>
          <w:numId w:val="31"/>
        </w:numPr>
        <w:spacing w:line="240" w:lineRule="auto"/>
        <w:ind w:left="425" w:hanging="357"/>
        <w:rPr>
          <w:sz w:val="28"/>
          <w:szCs w:val="28"/>
        </w:rPr>
      </w:pPr>
      <w:r w:rsidRPr="00407A9A">
        <w:rPr>
          <w:rFonts w:ascii="Arial" w:hAnsi="Arial" w:cs="Arial"/>
        </w:rPr>
        <w:t xml:space="preserve">Review Application </w:t>
      </w:r>
      <w:r w:rsidR="00522423" w:rsidRPr="00407A9A">
        <w:rPr>
          <w:rFonts w:ascii="Arial" w:hAnsi="Arial" w:cs="Arial"/>
        </w:rPr>
        <w:t>granted;</w:t>
      </w:r>
      <w:r w:rsidRPr="00407A9A">
        <w:rPr>
          <w:rFonts w:ascii="Arial" w:hAnsi="Arial" w:cs="Arial"/>
        </w:rPr>
        <w:t xml:space="preserve"> Arbitration Award substituted with dismissal.</w:t>
      </w:r>
    </w:p>
    <w:p w14:paraId="6931A379" w14:textId="66B68ECD" w:rsidR="00012226" w:rsidRPr="007D6C0F" w:rsidRDefault="00012226" w:rsidP="007D6C0F">
      <w:pPr>
        <w:spacing w:after="120" w:line="360" w:lineRule="auto"/>
        <w:jc w:val="both"/>
        <w:rPr>
          <w:sz w:val="28"/>
          <w:szCs w:val="28"/>
        </w:rPr>
      </w:pPr>
      <w:r w:rsidRPr="007D6C0F">
        <w:rPr>
          <w:rFonts w:ascii="Arial" w:hAnsi="Arial" w:cs="Arial"/>
        </w:rPr>
        <w:lastRenderedPageBreak/>
        <w:t xml:space="preserve">The decision by the Labour Court was taken </w:t>
      </w:r>
      <w:r w:rsidR="00522423" w:rsidRPr="007D6C0F">
        <w:rPr>
          <w:rFonts w:ascii="Arial" w:hAnsi="Arial" w:cs="Arial"/>
        </w:rPr>
        <w:t>since</w:t>
      </w:r>
      <w:r w:rsidRPr="007D6C0F">
        <w:rPr>
          <w:rFonts w:ascii="Arial" w:hAnsi="Arial" w:cs="Arial"/>
        </w:rPr>
        <w:t xml:space="preserve"> Glencore’s Disciplinary Code and Procedure – whereby a written warning operates for 12 months for insubordination – did not form part of the collective agreement between NUM, Glencore and Mr. Maripane.</w:t>
      </w:r>
    </w:p>
    <w:p w14:paraId="30594A66" w14:textId="77777777" w:rsidR="00012226" w:rsidRPr="007D6C0F" w:rsidRDefault="00012226" w:rsidP="007D6C0F">
      <w:pPr>
        <w:spacing w:after="120" w:line="360" w:lineRule="auto"/>
        <w:jc w:val="both"/>
        <w:rPr>
          <w:sz w:val="28"/>
          <w:szCs w:val="28"/>
        </w:rPr>
      </w:pPr>
      <w:r w:rsidRPr="007D6C0F">
        <w:rPr>
          <w:rFonts w:ascii="Arial" w:hAnsi="Arial" w:cs="Arial"/>
        </w:rPr>
        <w:t xml:space="preserve">A collective agreement in this context is similar to a contract concerning terms and conditions either of employment or of another mutual interest between a trade union and an employer. The Labour Relations Act Section 23 states that a collective agreement takes precedence over an individual contract of employment when there is a disagreement of interpretation between the two (Nel </w:t>
      </w:r>
      <w:r w:rsidRPr="007D6C0F">
        <w:rPr>
          <w:rFonts w:ascii="Arial" w:hAnsi="Arial" w:cs="Arial"/>
          <w:i/>
          <w:iCs/>
        </w:rPr>
        <w:t>et al.</w:t>
      </w:r>
      <w:r w:rsidRPr="007D6C0F">
        <w:rPr>
          <w:rFonts w:ascii="Arial" w:hAnsi="Arial" w:cs="Arial"/>
        </w:rPr>
        <w:t>, 2020:191).</w:t>
      </w:r>
    </w:p>
    <w:p w14:paraId="09BA1F8C" w14:textId="3F7DD3BC" w:rsidR="00012226" w:rsidRPr="00407A9A" w:rsidRDefault="00012226" w:rsidP="00407A9A">
      <w:pPr>
        <w:spacing w:after="120" w:line="360" w:lineRule="auto"/>
        <w:jc w:val="both"/>
        <w:rPr>
          <w:sz w:val="28"/>
          <w:szCs w:val="28"/>
        </w:rPr>
      </w:pPr>
      <w:r w:rsidRPr="007D6C0F">
        <w:rPr>
          <w:rFonts w:ascii="Arial" w:hAnsi="Arial" w:cs="Arial"/>
        </w:rPr>
        <w:t xml:space="preserve">The decision to dismiss, following three recorded and admitted instances of insubordination, was thus seen by the Labour Court as justified and the Review Application </w:t>
      </w:r>
      <w:r w:rsidR="00592423" w:rsidRPr="007D6C0F">
        <w:rPr>
          <w:rFonts w:ascii="Arial" w:hAnsi="Arial" w:cs="Arial"/>
        </w:rPr>
        <w:t xml:space="preserve">was </w:t>
      </w:r>
      <w:r w:rsidRPr="007D6C0F">
        <w:rPr>
          <w:rFonts w:ascii="Arial" w:hAnsi="Arial" w:cs="Arial"/>
        </w:rPr>
        <w:t>granted. </w:t>
      </w:r>
    </w:p>
    <w:p w14:paraId="329A3740" w14:textId="3E779AA9" w:rsidR="00012226" w:rsidRPr="007D6C0F" w:rsidRDefault="00012226" w:rsidP="007D6C0F">
      <w:pPr>
        <w:pStyle w:val="Heading1"/>
      </w:pPr>
      <w:bookmarkStart w:id="40" w:name="_Toc71276721"/>
      <w:r w:rsidRPr="007D6C0F">
        <w:t xml:space="preserve">The role-players and facts of the </w:t>
      </w:r>
      <w:r w:rsidR="00B46188">
        <w:t xml:space="preserve">Labour Court </w:t>
      </w:r>
      <w:r w:rsidRPr="007D6C0F">
        <w:t>case</w:t>
      </w:r>
      <w:bookmarkEnd w:id="40"/>
    </w:p>
    <w:p w14:paraId="51F9CF96" w14:textId="0552C94A" w:rsidR="00C3437C" w:rsidRPr="007D6C0F" w:rsidRDefault="00C3437C" w:rsidP="007D6C0F">
      <w:pPr>
        <w:pStyle w:val="Heading2"/>
        <w:numPr>
          <w:ilvl w:val="1"/>
          <w:numId w:val="29"/>
        </w:numPr>
      </w:pPr>
      <w:bookmarkStart w:id="41" w:name="_Toc71276722"/>
      <w:r w:rsidRPr="007D6C0F">
        <w:t>The role-players</w:t>
      </w:r>
      <w:bookmarkEnd w:id="41"/>
    </w:p>
    <w:p w14:paraId="45CC2276" w14:textId="700A30AA" w:rsidR="00C3437C" w:rsidRPr="005E2720" w:rsidRDefault="00C3437C" w:rsidP="007D6C0F">
      <w:pPr>
        <w:spacing w:after="120" w:line="360" w:lineRule="auto"/>
        <w:jc w:val="both"/>
        <w:rPr>
          <w:rFonts w:ascii="Arial" w:hAnsi="Arial" w:cs="Arial"/>
        </w:rPr>
      </w:pPr>
      <w:r w:rsidRPr="005E2720">
        <w:rPr>
          <w:rFonts w:ascii="Arial" w:hAnsi="Arial" w:cs="Arial"/>
        </w:rPr>
        <w:t>The following individuals and organisations were key role players in the case presented to the Labour Court on 6 July 2016. </w:t>
      </w:r>
    </w:p>
    <w:p w14:paraId="5FB80B2A" w14:textId="798F5633" w:rsidR="00A64E3A" w:rsidRPr="005E2720" w:rsidRDefault="00A64E3A" w:rsidP="007D6C0F">
      <w:pPr>
        <w:spacing w:after="120" w:line="360" w:lineRule="auto"/>
        <w:jc w:val="both"/>
        <w:rPr>
          <w:rFonts w:ascii="Arial" w:hAnsi="Arial" w:cs="Arial"/>
        </w:rPr>
      </w:pPr>
      <w:r w:rsidRPr="005E2720">
        <w:rPr>
          <w:rFonts w:ascii="Arial" w:hAnsi="Arial" w:cs="Arial"/>
        </w:rPr>
        <w:t xml:space="preserve">The Applicant, Glencore Operations South Africa </w:t>
      </w:r>
      <w:r w:rsidR="00B579BE">
        <w:rPr>
          <w:rFonts w:ascii="Arial" w:hAnsi="Arial" w:cs="Arial"/>
        </w:rPr>
        <w:t>(</w:t>
      </w:r>
      <w:r w:rsidR="00407A9A">
        <w:rPr>
          <w:rFonts w:ascii="Arial" w:hAnsi="Arial" w:cs="Arial"/>
        </w:rPr>
        <w:t>Pty</w:t>
      </w:r>
      <w:r w:rsidR="00B579BE">
        <w:rPr>
          <w:rFonts w:ascii="Arial" w:hAnsi="Arial" w:cs="Arial"/>
        </w:rPr>
        <w:t>)</w:t>
      </w:r>
      <w:r w:rsidRPr="005E2720">
        <w:rPr>
          <w:rFonts w:ascii="Arial" w:hAnsi="Arial" w:cs="Arial"/>
        </w:rPr>
        <w:t>Ltd, employer of the First Respondent attempted to set aside the award given during Arbitration by the CCMA and to apply for appropriate dismissal. The CCMA, according to the LRA, is an independent third party assigned to dissolve disputes.</w:t>
      </w:r>
    </w:p>
    <w:p w14:paraId="6017912C" w14:textId="61FACAED" w:rsidR="00C3437C" w:rsidRPr="005E2720" w:rsidRDefault="00A64E3A" w:rsidP="007D6C0F">
      <w:pPr>
        <w:spacing w:after="120" w:line="360" w:lineRule="auto"/>
        <w:jc w:val="both"/>
        <w:rPr>
          <w:rFonts w:ascii="Arial" w:hAnsi="Arial" w:cs="Arial"/>
        </w:rPr>
      </w:pPr>
      <w:r w:rsidRPr="005E2720">
        <w:rPr>
          <w:rFonts w:ascii="Arial" w:hAnsi="Arial" w:cs="Arial"/>
        </w:rPr>
        <w:t xml:space="preserve">The </w:t>
      </w:r>
      <w:r w:rsidR="00C3437C" w:rsidRPr="005E2720">
        <w:rPr>
          <w:rFonts w:ascii="Arial" w:hAnsi="Arial" w:cs="Arial"/>
        </w:rPr>
        <w:t>First Respondent, Simon Maripane</w:t>
      </w:r>
      <w:r w:rsidRPr="005E2720">
        <w:rPr>
          <w:rFonts w:ascii="Arial" w:hAnsi="Arial" w:cs="Arial"/>
        </w:rPr>
        <w:t>,</w:t>
      </w:r>
      <w:r w:rsidR="00C3437C" w:rsidRPr="005E2720">
        <w:rPr>
          <w:rFonts w:ascii="Arial" w:hAnsi="Arial" w:cs="Arial"/>
        </w:rPr>
        <w:t xml:space="preserve"> was represented by the National Union for Mine workers (NUM). </w:t>
      </w:r>
      <w:r w:rsidRPr="005E2720">
        <w:rPr>
          <w:rFonts w:ascii="Arial" w:hAnsi="Arial" w:cs="Arial"/>
        </w:rPr>
        <w:t>Simon Maripane was a</w:t>
      </w:r>
      <w:r w:rsidR="00C3437C" w:rsidRPr="005E2720">
        <w:rPr>
          <w:rFonts w:ascii="Arial" w:hAnsi="Arial" w:cs="Arial"/>
        </w:rPr>
        <w:t xml:space="preserve"> Glencore employee, under cross review by the Labour Court for gross insubordination, </w:t>
      </w:r>
      <w:r w:rsidRPr="005E2720">
        <w:rPr>
          <w:rFonts w:ascii="Arial" w:hAnsi="Arial" w:cs="Arial"/>
        </w:rPr>
        <w:t>in contrast to w</w:t>
      </w:r>
      <w:r w:rsidR="00C3437C" w:rsidRPr="005E2720">
        <w:rPr>
          <w:rFonts w:ascii="Arial" w:hAnsi="Arial" w:cs="Arial"/>
        </w:rPr>
        <w:t>hat was awarded during the process of arbitration. Arbitration, according to the Labour Relations Act (LRA), is the process of resolving disputes by using an independent third party that is constructed to listen to both cases and make an award of binding</w:t>
      </w:r>
      <w:r w:rsidR="00313EC2">
        <w:rPr>
          <w:rFonts w:ascii="Arial" w:hAnsi="Arial" w:cs="Arial"/>
        </w:rPr>
        <w:t xml:space="preserve"> nature</w:t>
      </w:r>
      <w:r w:rsidR="00C3437C" w:rsidRPr="005E2720">
        <w:rPr>
          <w:rFonts w:ascii="Arial" w:hAnsi="Arial" w:cs="Arial"/>
        </w:rPr>
        <w:t>. </w:t>
      </w:r>
    </w:p>
    <w:p w14:paraId="04B1E796" w14:textId="29344ECD" w:rsidR="00C3437C" w:rsidRPr="005E2720" w:rsidRDefault="00C3437C" w:rsidP="007D6C0F">
      <w:pPr>
        <w:spacing w:after="120" w:line="360" w:lineRule="auto"/>
        <w:jc w:val="both"/>
        <w:rPr>
          <w:rFonts w:ascii="Arial" w:hAnsi="Arial" w:cs="Arial"/>
        </w:rPr>
      </w:pPr>
      <w:r w:rsidRPr="005E2720">
        <w:rPr>
          <w:rFonts w:ascii="Arial" w:hAnsi="Arial" w:cs="Arial"/>
        </w:rPr>
        <w:t xml:space="preserve">Third Respondent, Simon Rantho, Commissioner of </w:t>
      </w:r>
      <w:r w:rsidR="00A64E3A" w:rsidRPr="005E2720">
        <w:rPr>
          <w:rFonts w:ascii="Arial" w:hAnsi="Arial" w:cs="Arial"/>
        </w:rPr>
        <w:t xml:space="preserve">the </w:t>
      </w:r>
      <w:r w:rsidRPr="005E2720">
        <w:rPr>
          <w:rFonts w:ascii="Arial" w:hAnsi="Arial" w:cs="Arial"/>
        </w:rPr>
        <w:t>CCMA conducted the Arbitration process between the First Respondent and the Applicant. </w:t>
      </w:r>
    </w:p>
    <w:p w14:paraId="0F11BD15" w14:textId="5016261A" w:rsidR="00C3437C" w:rsidRPr="005E2720" w:rsidRDefault="00C3437C" w:rsidP="007D6C0F">
      <w:pPr>
        <w:spacing w:after="120" w:line="360" w:lineRule="auto"/>
        <w:jc w:val="both"/>
        <w:rPr>
          <w:rFonts w:ascii="Arial" w:hAnsi="Arial" w:cs="Arial"/>
        </w:rPr>
      </w:pPr>
      <w:r w:rsidRPr="005E2720">
        <w:rPr>
          <w:rFonts w:ascii="Arial" w:hAnsi="Arial" w:cs="Arial"/>
        </w:rPr>
        <w:t>Acting Judge of the Labour Court of South Africa, R.A.L. Harper conducted the review and cross-review case.  The Labour Court, according to the LRA, is a superior Court in South Africa with the authority to resolve labour cases between employee, employer, and representative organisations. </w:t>
      </w:r>
    </w:p>
    <w:p w14:paraId="368F7777" w14:textId="7A751442" w:rsidR="00C3437C" w:rsidRPr="000F5056" w:rsidRDefault="00C3437C" w:rsidP="007D6C0F">
      <w:pPr>
        <w:pStyle w:val="Heading2"/>
        <w:numPr>
          <w:ilvl w:val="1"/>
          <w:numId w:val="29"/>
        </w:numPr>
      </w:pPr>
      <w:bookmarkStart w:id="42" w:name="_Toc71276723"/>
      <w:r w:rsidRPr="000F5056">
        <w:lastRenderedPageBreak/>
        <w:t xml:space="preserve">Outlined Facts of </w:t>
      </w:r>
      <w:r>
        <w:t xml:space="preserve">the </w:t>
      </w:r>
      <w:r w:rsidR="00FC237A">
        <w:t xml:space="preserve">Labour Court </w:t>
      </w:r>
      <w:r w:rsidRPr="000F5056">
        <w:t>Case</w:t>
      </w:r>
      <w:bookmarkEnd w:id="42"/>
    </w:p>
    <w:p w14:paraId="147EED59" w14:textId="454F8485" w:rsidR="00C3437C" w:rsidRPr="005E2720" w:rsidRDefault="00C3437C" w:rsidP="007D6C0F">
      <w:pPr>
        <w:spacing w:after="120" w:line="360" w:lineRule="auto"/>
        <w:jc w:val="both"/>
        <w:rPr>
          <w:rFonts w:ascii="Arial" w:hAnsi="Arial" w:cs="Arial"/>
        </w:rPr>
      </w:pPr>
      <w:r w:rsidRPr="005E2720">
        <w:rPr>
          <w:rFonts w:ascii="Arial" w:hAnsi="Arial" w:cs="Arial"/>
        </w:rPr>
        <w:t>Disciplinary action was taken in early 2014 by the Applicant upon which the First Respondent was charged with insubordination. This resulted in the First Respondent being dismissed on 16 January 2014 by the Applicant. An appeal issued by the First Respondent was declared unsuccessful on 7 February 2014. </w:t>
      </w:r>
    </w:p>
    <w:p w14:paraId="701116F2" w14:textId="0DE8444C" w:rsidR="00C3437C" w:rsidRPr="005E2720" w:rsidRDefault="00C3437C" w:rsidP="007D6C0F">
      <w:pPr>
        <w:spacing w:after="120" w:line="360" w:lineRule="auto"/>
        <w:jc w:val="both"/>
        <w:rPr>
          <w:rFonts w:ascii="Arial" w:hAnsi="Arial" w:cs="Arial"/>
        </w:rPr>
      </w:pPr>
      <w:r w:rsidRPr="005E2720">
        <w:rPr>
          <w:rFonts w:ascii="Arial" w:hAnsi="Arial" w:cs="Arial"/>
        </w:rPr>
        <w:t xml:space="preserve">During Arbitration, the Arbitrator found the Disciplinary Code and Procedure as part of the Applicants’ Collective </w:t>
      </w:r>
      <w:r w:rsidR="007F2AFD" w:rsidRPr="005E2720">
        <w:rPr>
          <w:rFonts w:ascii="Arial" w:hAnsi="Arial" w:cs="Arial"/>
        </w:rPr>
        <w:t>A</w:t>
      </w:r>
      <w:r w:rsidRPr="005E2720">
        <w:rPr>
          <w:rFonts w:ascii="Arial" w:hAnsi="Arial" w:cs="Arial"/>
        </w:rPr>
        <w:t xml:space="preserve">greement and therefore concluded the dismissal unfair. The Arbitrator </w:t>
      </w:r>
      <w:r w:rsidR="00E252FA" w:rsidRPr="005E2720">
        <w:rPr>
          <w:rFonts w:ascii="Arial" w:hAnsi="Arial" w:cs="Arial"/>
        </w:rPr>
        <w:t xml:space="preserve">called for reinstatement of the First Respondent, </w:t>
      </w:r>
      <w:r w:rsidRPr="005E2720">
        <w:rPr>
          <w:rFonts w:ascii="Arial" w:hAnsi="Arial" w:cs="Arial"/>
        </w:rPr>
        <w:t>awarded</w:t>
      </w:r>
      <w:r w:rsidR="00E252FA" w:rsidRPr="005E2720">
        <w:rPr>
          <w:rFonts w:ascii="Arial" w:hAnsi="Arial" w:cs="Arial"/>
        </w:rPr>
        <w:t xml:space="preserve"> him</w:t>
      </w:r>
      <w:r w:rsidRPr="005E2720">
        <w:rPr>
          <w:rFonts w:ascii="Arial" w:hAnsi="Arial" w:cs="Arial"/>
        </w:rPr>
        <w:t xml:space="preserve"> 7 months back</w:t>
      </w:r>
      <w:r w:rsidR="00E252FA" w:rsidRPr="005E2720">
        <w:rPr>
          <w:rFonts w:ascii="Arial" w:hAnsi="Arial" w:cs="Arial"/>
        </w:rPr>
        <w:t xml:space="preserve"> </w:t>
      </w:r>
      <w:r w:rsidRPr="005E2720">
        <w:rPr>
          <w:rFonts w:ascii="Arial" w:hAnsi="Arial" w:cs="Arial"/>
        </w:rPr>
        <w:t>pay worth R60,296.04 and replaced the dismissal with a final written warning. The Applicant requested a review application to the Labour Court for Award given during Arbitration on 1 August 2014 and the First Respondent requested cross-review of gross-insubordination ruling against him.</w:t>
      </w:r>
    </w:p>
    <w:p w14:paraId="50EDE843" w14:textId="25F0939E" w:rsidR="00C3437C" w:rsidRPr="005E2720" w:rsidRDefault="00C3437C" w:rsidP="007D6C0F">
      <w:pPr>
        <w:spacing w:after="120" w:line="360" w:lineRule="auto"/>
        <w:jc w:val="both"/>
        <w:rPr>
          <w:rFonts w:ascii="Arial" w:hAnsi="Arial" w:cs="Arial"/>
        </w:rPr>
      </w:pPr>
      <w:r w:rsidRPr="005E2720">
        <w:rPr>
          <w:rFonts w:ascii="Arial" w:hAnsi="Arial" w:cs="Arial"/>
        </w:rPr>
        <w:t xml:space="preserve">The Case was presented in Labour Court on 6 July 2016, ruling in favour of the Applicant, stating </w:t>
      </w:r>
      <w:r w:rsidR="00E252FA" w:rsidRPr="005E2720">
        <w:rPr>
          <w:rFonts w:ascii="Arial" w:hAnsi="Arial" w:cs="Arial"/>
        </w:rPr>
        <w:t xml:space="preserve">that </w:t>
      </w:r>
      <w:r w:rsidRPr="005E2720">
        <w:rPr>
          <w:rFonts w:ascii="Arial" w:hAnsi="Arial" w:cs="Arial"/>
        </w:rPr>
        <w:t xml:space="preserve">the Disciplinary Code and Procedure was not </w:t>
      </w:r>
      <w:r w:rsidR="00E252FA" w:rsidRPr="005E2720">
        <w:rPr>
          <w:rFonts w:ascii="Arial" w:hAnsi="Arial" w:cs="Arial"/>
        </w:rPr>
        <w:t>p</w:t>
      </w:r>
      <w:r w:rsidRPr="005E2720">
        <w:rPr>
          <w:rFonts w:ascii="Arial" w:hAnsi="Arial" w:cs="Arial"/>
        </w:rPr>
        <w:t xml:space="preserve">art of the Applicants’ Collective </w:t>
      </w:r>
      <w:r w:rsidR="007F2AFD" w:rsidRPr="005E2720">
        <w:rPr>
          <w:rFonts w:ascii="Arial" w:hAnsi="Arial" w:cs="Arial"/>
        </w:rPr>
        <w:t>A</w:t>
      </w:r>
      <w:r w:rsidRPr="005E2720">
        <w:rPr>
          <w:rFonts w:ascii="Arial" w:hAnsi="Arial" w:cs="Arial"/>
        </w:rPr>
        <w:t>greement. </w:t>
      </w:r>
    </w:p>
    <w:p w14:paraId="51F43817" w14:textId="7DB0B238" w:rsidR="00C3437C" w:rsidRPr="000F5056" w:rsidRDefault="00C3437C" w:rsidP="007D6C0F">
      <w:pPr>
        <w:pStyle w:val="Heading2"/>
        <w:numPr>
          <w:ilvl w:val="1"/>
          <w:numId w:val="29"/>
        </w:numPr>
      </w:pPr>
      <w:bookmarkStart w:id="43" w:name="_Toc71276724"/>
      <w:r w:rsidRPr="000F5056">
        <w:t>Errors Made during Arbitration</w:t>
      </w:r>
      <w:bookmarkEnd w:id="43"/>
    </w:p>
    <w:p w14:paraId="4D36F79B" w14:textId="115A45A8" w:rsidR="00C3437C" w:rsidRPr="005E2720" w:rsidRDefault="00C3437C" w:rsidP="007D6C0F">
      <w:pPr>
        <w:spacing w:after="120" w:line="360" w:lineRule="auto"/>
        <w:jc w:val="both"/>
        <w:rPr>
          <w:rFonts w:ascii="Arial" w:hAnsi="Arial" w:cs="Arial"/>
        </w:rPr>
      </w:pPr>
      <w:r w:rsidRPr="005E2720">
        <w:rPr>
          <w:rFonts w:ascii="Arial" w:hAnsi="Arial" w:cs="Arial"/>
        </w:rPr>
        <w:t>The legal Representatives of the Applicant did not prepare a comprehensive record of Arbitration in 2014. No form of communication conducted between the Applicant, First Respondents’ Representatives and Arbitrator to address the record of testimony during Arbitration, was documented. The legal representatives of both parties were absent during the Arbitration process, excluded material in the record and thus failed to comply with the Rules of Labour Court 7A (5) and 7A (6) with the focus on clause 11.2.6. Rule 7A (5) focuses on the availability of records and the certification of copies made, where rule 7A (6) focuses on the distribution of record copies to the registrar and other bodies involved. Clause 11.2.6 states that only portions of a record are necessary for purposes of the review. </w:t>
      </w:r>
    </w:p>
    <w:p w14:paraId="584CCA61" w14:textId="3DA2500A" w:rsidR="00012226" w:rsidRPr="00407A9A" w:rsidRDefault="007F2AFD" w:rsidP="00407A9A">
      <w:pPr>
        <w:spacing w:after="120" w:line="360" w:lineRule="auto"/>
        <w:jc w:val="both"/>
        <w:rPr>
          <w:rFonts w:ascii="Arial" w:hAnsi="Arial" w:cs="Arial"/>
        </w:rPr>
      </w:pPr>
      <w:r w:rsidRPr="005E2720">
        <w:rPr>
          <w:rFonts w:ascii="Arial" w:hAnsi="Arial" w:cs="Arial"/>
        </w:rPr>
        <w:t>The d</w:t>
      </w:r>
      <w:r w:rsidR="00C3437C" w:rsidRPr="005E2720">
        <w:rPr>
          <w:rFonts w:ascii="Arial" w:hAnsi="Arial" w:cs="Arial"/>
        </w:rPr>
        <w:t xml:space="preserve">uties of all parties are mainly to ensure compliance with Labour Court Rules. This includes a comprehensive record of testimony during Arbitration and the effective reconstruction thereof. Failure to prepare appropriate records can lead to inaccurate information presented in Labour Court and the miscarriage of </w:t>
      </w:r>
      <w:r w:rsidRPr="005E2720">
        <w:rPr>
          <w:rFonts w:ascii="Arial" w:hAnsi="Arial" w:cs="Arial"/>
        </w:rPr>
        <w:t>j</w:t>
      </w:r>
      <w:r w:rsidR="00C3437C" w:rsidRPr="005E2720">
        <w:rPr>
          <w:rFonts w:ascii="Arial" w:hAnsi="Arial" w:cs="Arial"/>
        </w:rPr>
        <w:t>ustice. </w:t>
      </w:r>
    </w:p>
    <w:p w14:paraId="630EB867" w14:textId="40B11B79" w:rsidR="00012226" w:rsidRDefault="00012226" w:rsidP="00012226">
      <w:pPr>
        <w:pStyle w:val="Heading1"/>
      </w:pPr>
      <w:bookmarkStart w:id="44" w:name="_Toc71276725"/>
      <w:r>
        <w:lastRenderedPageBreak/>
        <w:t>Mitigating factors</w:t>
      </w:r>
      <w:bookmarkEnd w:id="44"/>
    </w:p>
    <w:p w14:paraId="425305E5" w14:textId="0FE56B61" w:rsidR="00C3437C" w:rsidRPr="005E2720" w:rsidRDefault="00C3437C" w:rsidP="007D6C0F">
      <w:pPr>
        <w:spacing w:after="120" w:line="360" w:lineRule="auto"/>
        <w:jc w:val="both"/>
        <w:rPr>
          <w:rFonts w:ascii="Arial" w:hAnsi="Arial" w:cs="Arial"/>
        </w:rPr>
      </w:pPr>
      <w:r w:rsidRPr="005E2720">
        <w:rPr>
          <w:rFonts w:ascii="Arial" w:hAnsi="Arial" w:cs="Arial"/>
        </w:rPr>
        <w:t xml:space="preserve">Glencore (Employer) in the case against Mr Simon Maripane should have considered mitigating factors when deciding on the appropriate disciplinary sanctions for Mr Maripane. </w:t>
      </w:r>
      <w:r w:rsidR="00B46188">
        <w:rPr>
          <w:rFonts w:ascii="Arial" w:hAnsi="Arial" w:cs="Arial"/>
        </w:rPr>
        <w:t xml:space="preserve">Once the </w:t>
      </w:r>
      <w:r w:rsidRPr="005E2720">
        <w:rPr>
          <w:rFonts w:ascii="Arial" w:hAnsi="Arial" w:cs="Arial"/>
        </w:rPr>
        <w:t>conclu</w:t>
      </w:r>
      <w:r w:rsidR="00B46188">
        <w:rPr>
          <w:rFonts w:ascii="Arial" w:hAnsi="Arial" w:cs="Arial"/>
        </w:rPr>
        <w:t>sion was reached</w:t>
      </w:r>
      <w:r w:rsidRPr="005E2720">
        <w:rPr>
          <w:rFonts w:ascii="Arial" w:hAnsi="Arial" w:cs="Arial"/>
        </w:rPr>
        <w:t xml:space="preserve"> that the employee is guilty of the alleged misconduct, the employer must then turn its mind to any factors that might explain or defend their behaviour, or that may have contributed to him acting in </w:t>
      </w:r>
      <w:r w:rsidR="00B46188">
        <w:rPr>
          <w:rFonts w:ascii="Arial" w:hAnsi="Arial" w:cs="Arial"/>
        </w:rPr>
        <w:t>such a</w:t>
      </w:r>
      <w:r w:rsidRPr="005E2720">
        <w:rPr>
          <w:rFonts w:ascii="Arial" w:hAnsi="Arial" w:cs="Arial"/>
        </w:rPr>
        <w:t xml:space="preserve"> manner. The employer would then need to consider whether any such mitigating factors might warrant a lesser sanction being imposed in the circumstances. The employer has a duty of giving the employee the opportunity to argue mitigating factors. The employer must explain that the verdict is </w:t>
      </w:r>
      <w:r w:rsidR="00522423" w:rsidRPr="005E2720">
        <w:rPr>
          <w:rFonts w:ascii="Arial" w:hAnsi="Arial" w:cs="Arial"/>
        </w:rPr>
        <w:t>guilty,</w:t>
      </w:r>
      <w:r w:rsidRPr="005E2720">
        <w:rPr>
          <w:rFonts w:ascii="Arial" w:hAnsi="Arial" w:cs="Arial"/>
        </w:rPr>
        <w:t xml:space="preserve"> and that the employee has the right to bring mitigating factors. The employer must explain to the employee what mitigating factors are and give the employee time to consider and explain their mitigating factors.</w:t>
      </w:r>
    </w:p>
    <w:p w14:paraId="0615E8ED" w14:textId="6A54AB87" w:rsidR="00C3437C" w:rsidRPr="005E2720" w:rsidRDefault="00C3437C" w:rsidP="007D6C0F">
      <w:pPr>
        <w:spacing w:after="120" w:line="360" w:lineRule="auto"/>
        <w:jc w:val="both"/>
        <w:rPr>
          <w:rFonts w:ascii="Arial" w:hAnsi="Arial" w:cs="Arial"/>
        </w:rPr>
      </w:pPr>
      <w:r w:rsidRPr="005E2720">
        <w:rPr>
          <w:rFonts w:ascii="Arial" w:hAnsi="Arial" w:cs="Arial"/>
        </w:rPr>
        <w:t xml:space="preserve">The mitigating factors that </w:t>
      </w:r>
      <w:r w:rsidR="00B46188">
        <w:rPr>
          <w:rFonts w:ascii="Arial" w:hAnsi="Arial" w:cs="Arial"/>
        </w:rPr>
        <w:t>may</w:t>
      </w:r>
      <w:r w:rsidRPr="005E2720">
        <w:rPr>
          <w:rFonts w:ascii="Arial" w:hAnsi="Arial" w:cs="Arial"/>
        </w:rPr>
        <w:t xml:space="preserve"> have been considered in this case are:</w:t>
      </w:r>
    </w:p>
    <w:p w14:paraId="1195918F" w14:textId="59AA69D2" w:rsidR="00C3437C" w:rsidRPr="005E2720" w:rsidRDefault="00B46188" w:rsidP="007D6C0F">
      <w:pPr>
        <w:spacing w:after="120" w:line="360" w:lineRule="auto"/>
        <w:jc w:val="both"/>
        <w:rPr>
          <w:rFonts w:ascii="Arial" w:hAnsi="Arial" w:cs="Arial"/>
        </w:rPr>
      </w:pPr>
      <w:r>
        <w:rPr>
          <w:rFonts w:ascii="Arial" w:hAnsi="Arial" w:cs="Arial"/>
        </w:rPr>
        <w:t>If</w:t>
      </w:r>
      <w:r w:rsidR="00761EC1">
        <w:rPr>
          <w:rFonts w:ascii="Arial" w:hAnsi="Arial" w:cs="Arial"/>
        </w:rPr>
        <w:t xml:space="preserve"> the employee ha</w:t>
      </w:r>
      <w:r>
        <w:rPr>
          <w:rFonts w:ascii="Arial" w:hAnsi="Arial" w:cs="Arial"/>
        </w:rPr>
        <w:t>s</w:t>
      </w:r>
      <w:r w:rsidR="00C3437C" w:rsidRPr="005E2720">
        <w:rPr>
          <w:rFonts w:ascii="Arial" w:hAnsi="Arial" w:cs="Arial"/>
        </w:rPr>
        <w:t xml:space="preserve"> any current physical or mental illness, stress</w:t>
      </w:r>
      <w:r w:rsidR="00DA0BD0">
        <w:rPr>
          <w:rFonts w:ascii="Arial" w:hAnsi="Arial" w:cs="Arial"/>
        </w:rPr>
        <w:t xml:space="preserve"> for example</w:t>
      </w:r>
      <w:r w:rsidR="00C3437C" w:rsidRPr="005E2720">
        <w:rPr>
          <w:rFonts w:ascii="Arial" w:hAnsi="Arial" w:cs="Arial"/>
        </w:rPr>
        <w:t>. In such circumstance</w:t>
      </w:r>
      <w:r w:rsidR="00761EC1">
        <w:rPr>
          <w:rFonts w:ascii="Arial" w:hAnsi="Arial" w:cs="Arial"/>
        </w:rPr>
        <w:t>s</w:t>
      </w:r>
      <w:r w:rsidR="00C3437C" w:rsidRPr="005E2720">
        <w:rPr>
          <w:rFonts w:ascii="Arial" w:hAnsi="Arial" w:cs="Arial"/>
        </w:rPr>
        <w:t>, it would be advisable for an employer to look at the matter with a degree of sensitivity and consider obtaining medical evidence</w:t>
      </w:r>
      <w:r w:rsidR="007F2AFD" w:rsidRPr="005E2720">
        <w:rPr>
          <w:rFonts w:ascii="Arial" w:hAnsi="Arial" w:cs="Arial"/>
        </w:rPr>
        <w:t>.</w:t>
      </w:r>
    </w:p>
    <w:p w14:paraId="7315840C" w14:textId="786C81B9" w:rsidR="00C3437C" w:rsidRPr="005E2720" w:rsidRDefault="00C3437C" w:rsidP="007D6C0F">
      <w:pPr>
        <w:spacing w:after="120" w:line="360" w:lineRule="auto"/>
        <w:jc w:val="both"/>
        <w:rPr>
          <w:rFonts w:ascii="Arial" w:hAnsi="Arial" w:cs="Arial"/>
        </w:rPr>
      </w:pPr>
      <w:r w:rsidRPr="005E2720">
        <w:rPr>
          <w:rFonts w:ascii="Arial" w:hAnsi="Arial" w:cs="Arial"/>
        </w:rPr>
        <w:t>I</w:t>
      </w:r>
      <w:r w:rsidR="00B46188">
        <w:rPr>
          <w:rFonts w:ascii="Arial" w:hAnsi="Arial" w:cs="Arial"/>
        </w:rPr>
        <w:t>f</w:t>
      </w:r>
      <w:r w:rsidRPr="005E2720">
        <w:rPr>
          <w:rFonts w:ascii="Arial" w:hAnsi="Arial" w:cs="Arial"/>
        </w:rPr>
        <w:t xml:space="preserve"> the employee </w:t>
      </w:r>
      <w:r w:rsidR="00B46188">
        <w:rPr>
          <w:rFonts w:ascii="Arial" w:hAnsi="Arial" w:cs="Arial"/>
        </w:rPr>
        <w:t>was</w:t>
      </w:r>
      <w:r w:rsidRPr="005E2720">
        <w:rPr>
          <w:rFonts w:ascii="Arial" w:hAnsi="Arial" w:cs="Arial"/>
        </w:rPr>
        <w:t xml:space="preserve"> </w:t>
      </w:r>
      <w:r w:rsidR="00B46188">
        <w:rPr>
          <w:rFonts w:ascii="Arial" w:hAnsi="Arial" w:cs="Arial"/>
        </w:rPr>
        <w:t>experiencing</w:t>
      </w:r>
      <w:r w:rsidRPr="005E2720">
        <w:rPr>
          <w:rFonts w:ascii="Arial" w:hAnsi="Arial" w:cs="Arial"/>
        </w:rPr>
        <w:t xml:space="preserve"> any personal issues that </w:t>
      </w:r>
      <w:r w:rsidR="007F2AFD" w:rsidRPr="005E2720">
        <w:rPr>
          <w:rFonts w:ascii="Arial" w:hAnsi="Arial" w:cs="Arial"/>
        </w:rPr>
        <w:t xml:space="preserve">may </w:t>
      </w:r>
      <w:r w:rsidRPr="005E2720">
        <w:rPr>
          <w:rFonts w:ascii="Arial" w:hAnsi="Arial" w:cs="Arial"/>
        </w:rPr>
        <w:t xml:space="preserve">have contributed to their conduct such as bereavement or </w:t>
      </w:r>
      <w:r w:rsidR="007F2AFD" w:rsidRPr="005E2720">
        <w:rPr>
          <w:rFonts w:ascii="Arial" w:hAnsi="Arial" w:cs="Arial"/>
        </w:rPr>
        <w:t>divorce</w:t>
      </w:r>
      <w:r w:rsidR="00B46188">
        <w:rPr>
          <w:rFonts w:ascii="Arial" w:hAnsi="Arial" w:cs="Arial"/>
        </w:rPr>
        <w:t>.</w:t>
      </w:r>
      <w:r w:rsidRPr="005E2720">
        <w:rPr>
          <w:rFonts w:ascii="Arial" w:hAnsi="Arial" w:cs="Arial"/>
        </w:rPr>
        <w:t xml:space="preserve"> In such a case it would be appropriate for the employer to consider how long the problem is likely to last and whether it </w:t>
      </w:r>
      <w:r w:rsidR="00761EC1">
        <w:rPr>
          <w:rFonts w:ascii="Arial" w:hAnsi="Arial" w:cs="Arial"/>
        </w:rPr>
        <w:t>c</w:t>
      </w:r>
      <w:r w:rsidRPr="005E2720">
        <w:rPr>
          <w:rFonts w:ascii="Arial" w:hAnsi="Arial" w:cs="Arial"/>
        </w:rPr>
        <w:t xml:space="preserve">ould </w:t>
      </w:r>
      <w:r w:rsidR="007F2AFD" w:rsidRPr="005E2720">
        <w:rPr>
          <w:rFonts w:ascii="Arial" w:hAnsi="Arial" w:cs="Arial"/>
        </w:rPr>
        <w:t xml:space="preserve">be </w:t>
      </w:r>
      <w:r w:rsidRPr="005E2720">
        <w:rPr>
          <w:rFonts w:ascii="Arial" w:hAnsi="Arial" w:cs="Arial"/>
        </w:rPr>
        <w:t>considered a mitigating factor.</w:t>
      </w:r>
    </w:p>
    <w:p w14:paraId="1B77C223" w14:textId="2838616E" w:rsidR="00C3437C" w:rsidRPr="005E2720" w:rsidRDefault="00C3437C" w:rsidP="007D6C0F">
      <w:pPr>
        <w:spacing w:after="120" w:line="360" w:lineRule="auto"/>
        <w:jc w:val="both"/>
        <w:rPr>
          <w:rFonts w:ascii="Arial" w:hAnsi="Arial" w:cs="Arial"/>
        </w:rPr>
      </w:pPr>
      <w:r w:rsidRPr="005E2720">
        <w:rPr>
          <w:rFonts w:ascii="Arial" w:hAnsi="Arial" w:cs="Arial"/>
        </w:rPr>
        <w:t xml:space="preserve">Employers should balance matters such as length of service </w:t>
      </w:r>
      <w:r w:rsidR="00761EC1">
        <w:rPr>
          <w:rFonts w:ascii="Arial" w:hAnsi="Arial" w:cs="Arial"/>
        </w:rPr>
        <w:t xml:space="preserve">and disciplinary record </w:t>
      </w:r>
      <w:r w:rsidRPr="005E2720">
        <w:rPr>
          <w:rFonts w:ascii="Arial" w:hAnsi="Arial" w:cs="Arial"/>
        </w:rPr>
        <w:t>against the seriousness of the misconduct.</w:t>
      </w:r>
    </w:p>
    <w:p w14:paraId="5C5F8344" w14:textId="41EE9C46" w:rsidR="00C3437C" w:rsidRPr="005E2720" w:rsidRDefault="00C3437C" w:rsidP="007D6C0F">
      <w:pPr>
        <w:spacing w:after="120" w:line="360" w:lineRule="auto"/>
        <w:jc w:val="both"/>
        <w:rPr>
          <w:rFonts w:ascii="Arial" w:hAnsi="Arial" w:cs="Arial"/>
        </w:rPr>
      </w:pPr>
      <w:r w:rsidRPr="005E2720">
        <w:rPr>
          <w:rFonts w:ascii="Arial" w:hAnsi="Arial" w:cs="Arial"/>
        </w:rPr>
        <w:t>Having considered any mitigating factors, the test in unfair dismissal cases is whether dismissal falls within the “band of reasonable responses”. Therefore, the fact that a lesser sanction could be considered does</w:t>
      </w:r>
      <w:r w:rsidR="002A2EEE">
        <w:rPr>
          <w:rFonts w:ascii="Arial" w:hAnsi="Arial" w:cs="Arial"/>
        </w:rPr>
        <w:t xml:space="preserve"> </w:t>
      </w:r>
      <w:r w:rsidRPr="005E2720">
        <w:rPr>
          <w:rFonts w:ascii="Arial" w:hAnsi="Arial" w:cs="Arial"/>
        </w:rPr>
        <w:t>n</w:t>
      </w:r>
      <w:r w:rsidR="002A2EEE">
        <w:rPr>
          <w:rFonts w:ascii="Arial" w:hAnsi="Arial" w:cs="Arial"/>
        </w:rPr>
        <w:t>o</w:t>
      </w:r>
      <w:r w:rsidRPr="005E2720">
        <w:rPr>
          <w:rFonts w:ascii="Arial" w:hAnsi="Arial" w:cs="Arial"/>
        </w:rPr>
        <w:t xml:space="preserve">t mean dismissal will be unfair provided that </w:t>
      </w:r>
      <w:r w:rsidR="00854569">
        <w:rPr>
          <w:rFonts w:ascii="Arial" w:hAnsi="Arial" w:cs="Arial"/>
        </w:rPr>
        <w:t xml:space="preserve">the </w:t>
      </w:r>
      <w:r w:rsidRPr="005E2720">
        <w:rPr>
          <w:rFonts w:ascii="Arial" w:hAnsi="Arial" w:cs="Arial"/>
        </w:rPr>
        <w:t>dismissal remains one of the reasonable sanctions.</w:t>
      </w:r>
    </w:p>
    <w:p w14:paraId="208338BE" w14:textId="6240B46A" w:rsidR="00C3437C" w:rsidRPr="005E2720" w:rsidRDefault="00C3437C" w:rsidP="007D6C0F">
      <w:pPr>
        <w:shd w:val="clear" w:color="auto" w:fill="FFFFFF"/>
        <w:spacing w:after="120" w:line="360" w:lineRule="auto"/>
        <w:jc w:val="both"/>
        <w:rPr>
          <w:rFonts w:ascii="Arial" w:hAnsi="Arial" w:cs="Arial"/>
        </w:rPr>
      </w:pPr>
      <w:r w:rsidRPr="005E2720">
        <w:rPr>
          <w:rFonts w:ascii="Arial" w:hAnsi="Arial" w:cs="Arial"/>
        </w:rPr>
        <w:t xml:space="preserve">The disciplinary procedure must take extensive steps to ensure that justice is </w:t>
      </w:r>
      <w:r w:rsidR="00DB1135" w:rsidRPr="005E2720">
        <w:rPr>
          <w:rFonts w:ascii="Arial" w:hAnsi="Arial" w:cs="Arial"/>
        </w:rPr>
        <w:t>achieved.</w:t>
      </w:r>
      <w:r w:rsidRPr="005E2720">
        <w:rPr>
          <w:rFonts w:ascii="Arial" w:hAnsi="Arial" w:cs="Arial"/>
        </w:rPr>
        <w:t xml:space="preserve"> </w:t>
      </w:r>
      <w:r w:rsidR="005E2720">
        <w:rPr>
          <w:rFonts w:ascii="Arial" w:hAnsi="Arial" w:cs="Arial"/>
        </w:rPr>
        <w:t>Nel and Kirsten (2016)</w:t>
      </w:r>
      <w:r w:rsidRPr="005E2720">
        <w:rPr>
          <w:rFonts w:ascii="Arial" w:hAnsi="Arial" w:cs="Arial"/>
        </w:rPr>
        <w:t xml:space="preserve"> </w:t>
      </w:r>
      <w:r w:rsidR="00DB1135" w:rsidRPr="005E2720">
        <w:rPr>
          <w:rFonts w:ascii="Arial" w:hAnsi="Arial" w:cs="Arial"/>
        </w:rPr>
        <w:t>a</w:t>
      </w:r>
      <w:r w:rsidRPr="005E2720">
        <w:rPr>
          <w:rFonts w:ascii="Arial" w:hAnsi="Arial" w:cs="Arial"/>
        </w:rPr>
        <w:t xml:space="preserve">llude to the fact that mitigating factors are also important in these proceedings. The conclusion to arrive at dismissal of an employee, should be guided by many factors, some of which </w:t>
      </w:r>
      <w:r w:rsidR="00DB1135" w:rsidRPr="005E2720">
        <w:rPr>
          <w:rFonts w:ascii="Arial" w:hAnsi="Arial" w:cs="Arial"/>
        </w:rPr>
        <w:t xml:space="preserve">could </w:t>
      </w:r>
      <w:r w:rsidRPr="005E2720">
        <w:rPr>
          <w:rFonts w:ascii="Arial" w:hAnsi="Arial" w:cs="Arial"/>
        </w:rPr>
        <w:t xml:space="preserve">be aggravating factors that may make the </w:t>
      </w:r>
      <w:r w:rsidRPr="005E2720">
        <w:rPr>
          <w:rFonts w:ascii="Arial" w:hAnsi="Arial" w:cs="Arial"/>
        </w:rPr>
        <w:lastRenderedPageBreak/>
        <w:t>contravention more serious, or mitigating factors that may make it less serious, and these should be weighed against one another in determining the severity of the case.</w:t>
      </w:r>
    </w:p>
    <w:p w14:paraId="177F844E" w14:textId="79A50E22" w:rsidR="00C3437C" w:rsidRPr="00407A9A" w:rsidRDefault="00DB1135" w:rsidP="00407A9A">
      <w:pPr>
        <w:shd w:val="clear" w:color="auto" w:fill="FFFFFF"/>
        <w:spacing w:after="120" w:line="360" w:lineRule="auto"/>
        <w:jc w:val="both"/>
        <w:rPr>
          <w:rFonts w:ascii="Arial" w:hAnsi="Arial" w:cs="Arial"/>
        </w:rPr>
      </w:pPr>
      <w:r w:rsidRPr="005E2720">
        <w:rPr>
          <w:rFonts w:ascii="Arial" w:hAnsi="Arial" w:cs="Arial"/>
        </w:rPr>
        <w:t>The</w:t>
      </w:r>
      <w:r w:rsidR="00C3437C" w:rsidRPr="005E2720">
        <w:rPr>
          <w:rFonts w:ascii="Arial" w:hAnsi="Arial" w:cs="Arial"/>
        </w:rPr>
        <w:t> </w:t>
      </w:r>
      <w:r w:rsidR="00522423" w:rsidRPr="005E2720">
        <w:rPr>
          <w:rFonts w:ascii="Arial" w:hAnsi="Arial" w:cs="Arial"/>
        </w:rPr>
        <w:t>L</w:t>
      </w:r>
      <w:r w:rsidRPr="005E2720">
        <w:rPr>
          <w:rFonts w:ascii="Arial" w:hAnsi="Arial" w:cs="Arial"/>
        </w:rPr>
        <w:t>R</w:t>
      </w:r>
      <w:r w:rsidR="00522423" w:rsidRPr="005E2720">
        <w:rPr>
          <w:rFonts w:ascii="Arial" w:hAnsi="Arial" w:cs="Arial"/>
        </w:rPr>
        <w:t>A</w:t>
      </w:r>
      <w:r w:rsidR="00F44883">
        <w:rPr>
          <w:rFonts w:ascii="Arial" w:hAnsi="Arial" w:cs="Arial"/>
        </w:rPr>
        <w:t>,</w:t>
      </w:r>
      <w:r w:rsidR="00522423" w:rsidRPr="005E2720">
        <w:rPr>
          <w:rFonts w:ascii="Arial" w:hAnsi="Arial" w:cs="Arial"/>
        </w:rPr>
        <w:t xml:space="preserve"> on whether to impose dismissal as penalty, argues that employees' circumstances should be considered.</w:t>
      </w:r>
      <w:r w:rsidR="00F44883">
        <w:rPr>
          <w:rFonts w:ascii="Arial" w:hAnsi="Arial" w:cs="Arial"/>
        </w:rPr>
        <w:t xml:space="preserve"> </w:t>
      </w:r>
      <w:r w:rsidR="00C3437C" w:rsidRPr="005E2720">
        <w:rPr>
          <w:rFonts w:ascii="Arial" w:hAnsi="Arial" w:cs="Arial"/>
        </w:rPr>
        <w:t>These would be argued in a</w:t>
      </w:r>
      <w:r w:rsidR="00F44883">
        <w:rPr>
          <w:rFonts w:ascii="Arial" w:hAnsi="Arial" w:cs="Arial"/>
        </w:rPr>
        <w:t xml:space="preserve"> separate </w:t>
      </w:r>
      <w:r w:rsidR="00C3437C" w:rsidRPr="005E2720">
        <w:rPr>
          <w:rFonts w:ascii="Arial" w:hAnsi="Arial" w:cs="Arial"/>
        </w:rPr>
        <w:t xml:space="preserve">enquiry, </w:t>
      </w:r>
      <w:r w:rsidR="00F44883">
        <w:rPr>
          <w:rFonts w:ascii="Arial" w:hAnsi="Arial" w:cs="Arial"/>
        </w:rPr>
        <w:t xml:space="preserve">wherein </w:t>
      </w:r>
      <w:r w:rsidR="00C3437C" w:rsidRPr="005E2720">
        <w:rPr>
          <w:rFonts w:ascii="Arial" w:hAnsi="Arial" w:cs="Arial"/>
        </w:rPr>
        <w:t>enquiry factors to determine sanctions are discussed and considered.</w:t>
      </w:r>
      <w:r w:rsidR="00313EC2">
        <w:rPr>
          <w:rFonts w:ascii="Arial" w:hAnsi="Arial" w:cs="Arial"/>
        </w:rPr>
        <w:t xml:space="preserve"> </w:t>
      </w:r>
      <w:r w:rsidR="00C3437C" w:rsidRPr="005E2720">
        <w:rPr>
          <w:rFonts w:ascii="Arial" w:hAnsi="Arial" w:cs="Arial"/>
        </w:rPr>
        <w:t xml:space="preserve">To dismiss an employee on their first offence is inappropriate </w:t>
      </w:r>
      <w:r w:rsidR="00C3437C" w:rsidRPr="000116DB">
        <w:rPr>
          <w:rFonts w:ascii="Arial" w:hAnsi="Arial" w:cs="Arial"/>
        </w:rPr>
        <w:t>(</w:t>
      </w:r>
      <w:r w:rsidR="000116DB" w:rsidRPr="000116DB">
        <w:rPr>
          <w:rFonts w:ascii="Arial" w:hAnsi="Arial" w:cs="Arial"/>
        </w:rPr>
        <w:t>Van der Bank</w:t>
      </w:r>
      <w:r w:rsidR="00C3437C" w:rsidRPr="000116DB">
        <w:rPr>
          <w:rFonts w:ascii="Arial" w:hAnsi="Arial" w:cs="Arial"/>
        </w:rPr>
        <w:t>, 2010</w:t>
      </w:r>
      <w:r w:rsidR="000116DB" w:rsidRPr="000116DB">
        <w:rPr>
          <w:rFonts w:ascii="Arial" w:hAnsi="Arial" w:cs="Arial"/>
        </w:rPr>
        <w:t>:</w:t>
      </w:r>
      <w:r w:rsidR="000116DB">
        <w:rPr>
          <w:rFonts w:ascii="Arial" w:hAnsi="Arial" w:cs="Arial"/>
        </w:rPr>
        <w:t>285</w:t>
      </w:r>
      <w:r w:rsidR="00C3437C" w:rsidRPr="005E2720">
        <w:rPr>
          <w:rFonts w:ascii="Arial" w:hAnsi="Arial" w:cs="Arial"/>
        </w:rPr>
        <w:t>), and it should not be the immediate sanction imposed.</w:t>
      </w:r>
    </w:p>
    <w:p w14:paraId="2017ED18" w14:textId="579DD2EA" w:rsidR="00012226" w:rsidRDefault="00012226" w:rsidP="00012226">
      <w:pPr>
        <w:pStyle w:val="Heading1"/>
      </w:pPr>
      <w:bookmarkStart w:id="45" w:name="_Toc71276726"/>
      <w:r>
        <w:t>Conclusion</w:t>
      </w:r>
      <w:bookmarkEnd w:id="45"/>
    </w:p>
    <w:p w14:paraId="7952A199" w14:textId="0488689F" w:rsidR="007D6C0F" w:rsidRPr="007D6C0F" w:rsidRDefault="007D6C0F" w:rsidP="007D6C0F">
      <w:pPr>
        <w:spacing w:after="120" w:line="360" w:lineRule="auto"/>
        <w:jc w:val="both"/>
        <w:rPr>
          <w:color w:val="000000"/>
          <w:sz w:val="28"/>
          <w:szCs w:val="28"/>
        </w:rPr>
      </w:pPr>
      <w:r w:rsidRPr="007D6C0F">
        <w:rPr>
          <w:rFonts w:ascii="Arial" w:hAnsi="Arial" w:cs="Arial"/>
          <w:color w:val="000000"/>
        </w:rPr>
        <w:t>Prevalent in the discussion of the case, one can highlight that it is salient as an employee to always be dutiful in the workplace and</w:t>
      </w:r>
      <w:r w:rsidR="00F44883">
        <w:rPr>
          <w:rFonts w:ascii="Arial" w:hAnsi="Arial" w:cs="Arial"/>
          <w:color w:val="000000"/>
        </w:rPr>
        <w:t>,</w:t>
      </w:r>
      <w:r w:rsidRPr="007D6C0F">
        <w:rPr>
          <w:rFonts w:ascii="Arial" w:hAnsi="Arial" w:cs="Arial"/>
          <w:color w:val="000000"/>
        </w:rPr>
        <w:t xml:space="preserve"> where </w:t>
      </w:r>
      <w:r w:rsidR="00F44883">
        <w:rPr>
          <w:rFonts w:ascii="Arial" w:hAnsi="Arial" w:cs="Arial"/>
          <w:color w:val="000000"/>
        </w:rPr>
        <w:t xml:space="preserve">the </w:t>
      </w:r>
      <w:r w:rsidRPr="007D6C0F">
        <w:rPr>
          <w:rFonts w:ascii="Arial" w:hAnsi="Arial" w:cs="Arial"/>
          <w:color w:val="000000"/>
        </w:rPr>
        <w:t xml:space="preserve">need arises, </w:t>
      </w:r>
      <w:r w:rsidR="00313EC2">
        <w:rPr>
          <w:rFonts w:ascii="Arial" w:hAnsi="Arial" w:cs="Arial"/>
          <w:color w:val="000000"/>
        </w:rPr>
        <w:t xml:space="preserve">lay </w:t>
      </w:r>
      <w:r w:rsidRPr="007D6C0F">
        <w:rPr>
          <w:rFonts w:ascii="Arial" w:hAnsi="Arial" w:cs="Arial"/>
          <w:color w:val="000000"/>
        </w:rPr>
        <w:t>complaints</w:t>
      </w:r>
      <w:r w:rsidR="00313EC2">
        <w:rPr>
          <w:rFonts w:ascii="Arial" w:hAnsi="Arial" w:cs="Arial"/>
          <w:color w:val="000000"/>
        </w:rPr>
        <w:t xml:space="preserve"> </w:t>
      </w:r>
      <w:r w:rsidRPr="007D6C0F">
        <w:rPr>
          <w:rFonts w:ascii="Arial" w:hAnsi="Arial" w:cs="Arial"/>
          <w:color w:val="000000"/>
        </w:rPr>
        <w:t xml:space="preserve">against whatever you perceive to be unfair treatment through appropriate means. The Applicant, in this case, exhausted all routes to get the First Respondent to return to his former role as raw materials operator. The First Respondent </w:t>
      </w:r>
      <w:r w:rsidR="006C6D29" w:rsidRPr="005E2720">
        <w:rPr>
          <w:rFonts w:ascii="Arial" w:hAnsi="Arial" w:cs="Arial"/>
          <w:color w:val="000000"/>
        </w:rPr>
        <w:t>blatantly</w:t>
      </w:r>
      <w:r w:rsidRPr="007D6C0F">
        <w:rPr>
          <w:rFonts w:ascii="Arial" w:hAnsi="Arial" w:cs="Arial"/>
          <w:color w:val="000000"/>
        </w:rPr>
        <w:t xml:space="preserve"> ignored these instructions in an attempt to retain the position as the full-time Health and Safety Shop Steward.</w:t>
      </w:r>
    </w:p>
    <w:p w14:paraId="720E7499" w14:textId="143D75F5" w:rsidR="007D6C0F" w:rsidRPr="007D6C0F" w:rsidRDefault="007D6C0F" w:rsidP="007D6C0F">
      <w:pPr>
        <w:spacing w:after="120" w:line="360" w:lineRule="auto"/>
        <w:jc w:val="both"/>
        <w:rPr>
          <w:color w:val="000000"/>
          <w:sz w:val="28"/>
          <w:szCs w:val="28"/>
        </w:rPr>
      </w:pPr>
      <w:r w:rsidRPr="007D6C0F">
        <w:rPr>
          <w:rFonts w:ascii="Arial" w:hAnsi="Arial" w:cs="Arial"/>
          <w:color w:val="000000"/>
        </w:rPr>
        <w:t xml:space="preserve">Following three recorded and admitted instances of insubordination, the dismissal was seen as just and the review application was granted by the Labour Court. According to the presiding judge, </w:t>
      </w:r>
      <w:r w:rsidR="00F44883">
        <w:rPr>
          <w:rFonts w:ascii="Arial" w:hAnsi="Arial" w:cs="Arial"/>
          <w:color w:val="000000"/>
        </w:rPr>
        <w:t xml:space="preserve">the </w:t>
      </w:r>
      <w:r w:rsidRPr="007D6C0F">
        <w:rPr>
          <w:rFonts w:ascii="Arial" w:hAnsi="Arial" w:cs="Arial"/>
          <w:color w:val="000000"/>
        </w:rPr>
        <w:t xml:space="preserve">Applicant had done all it could and had no choice but to dismiss the First Respondent since no commitment was shown by the latter to </w:t>
      </w:r>
      <w:r w:rsidR="00313EC2">
        <w:rPr>
          <w:rFonts w:ascii="Arial" w:hAnsi="Arial" w:cs="Arial"/>
          <w:color w:val="000000"/>
        </w:rPr>
        <w:t xml:space="preserve">resume </w:t>
      </w:r>
      <w:r w:rsidRPr="007D6C0F">
        <w:rPr>
          <w:rFonts w:ascii="Arial" w:hAnsi="Arial" w:cs="Arial"/>
          <w:color w:val="000000"/>
        </w:rPr>
        <w:t>his former position.</w:t>
      </w:r>
    </w:p>
    <w:p w14:paraId="2F9C01E7" w14:textId="77777777" w:rsidR="007D6C0F" w:rsidRPr="00407A9A" w:rsidRDefault="007D6C0F" w:rsidP="007D6C0F">
      <w:pPr>
        <w:spacing w:after="120" w:line="360" w:lineRule="auto"/>
        <w:jc w:val="both"/>
        <w:rPr>
          <w:i/>
          <w:iCs/>
          <w:color w:val="000000"/>
          <w:sz w:val="28"/>
          <w:szCs w:val="28"/>
        </w:rPr>
      </w:pPr>
      <w:r w:rsidRPr="00407A9A">
        <w:rPr>
          <w:rFonts w:ascii="Arial" w:hAnsi="Arial" w:cs="Arial"/>
          <w:i/>
          <w:iCs/>
          <w:color w:val="000000"/>
        </w:rPr>
        <w:t>Implications of the case</w:t>
      </w:r>
    </w:p>
    <w:p w14:paraId="0F01B930" w14:textId="77777777" w:rsidR="007D6C0F" w:rsidRPr="007D6C0F" w:rsidRDefault="007D6C0F" w:rsidP="007D6C0F">
      <w:pPr>
        <w:spacing w:after="120" w:line="360" w:lineRule="auto"/>
        <w:jc w:val="both"/>
        <w:rPr>
          <w:color w:val="000000"/>
          <w:sz w:val="28"/>
          <w:szCs w:val="28"/>
        </w:rPr>
      </w:pPr>
      <w:r w:rsidRPr="007D6C0F">
        <w:rPr>
          <w:rFonts w:ascii="Arial" w:hAnsi="Arial" w:cs="Arial"/>
          <w:color w:val="000000"/>
        </w:rPr>
        <w:t>The court substituted the reinstatement of the First Respondent by the Arbitrator of the CCMA with a dismissal. This means that the First Respondent may not return to work in the Applicants work place. The judgment clearly stated that the First Respondent had been dismissed on 7 February 2014. This means that all relationships between the Applicant and the First Respondent have been terminated. Therefore, the First Respondent will have to look elsewhere to find employment.</w:t>
      </w:r>
    </w:p>
    <w:p w14:paraId="502A17BD" w14:textId="77777777" w:rsidR="007D6C0F" w:rsidRPr="007D6C0F" w:rsidRDefault="007D6C0F" w:rsidP="007D6C0F">
      <w:pPr>
        <w:spacing w:after="120" w:line="360" w:lineRule="auto"/>
        <w:jc w:val="both"/>
        <w:rPr>
          <w:color w:val="000000"/>
          <w:sz w:val="28"/>
          <w:szCs w:val="28"/>
        </w:rPr>
      </w:pPr>
      <w:r w:rsidRPr="007D6C0F">
        <w:rPr>
          <w:rFonts w:ascii="Arial" w:hAnsi="Arial" w:cs="Arial"/>
          <w:color w:val="000000"/>
        </w:rPr>
        <w:t>No compensation was granted to the First Respondent. This means that the Applicant is not required to provide any financial, or other, benefits to the First Respondent. The First Respondent having been dismissed is not entitled to these. All parties must bear their own cost. This is a case of fair judgement with lessons learnt for all parties involved.</w:t>
      </w:r>
    </w:p>
    <w:p w14:paraId="79DD9B6D" w14:textId="77777777" w:rsidR="007D6C0F" w:rsidRPr="007D6C0F" w:rsidRDefault="007D6C0F" w:rsidP="007D6C0F">
      <w:pPr>
        <w:spacing w:after="120" w:line="360" w:lineRule="auto"/>
        <w:jc w:val="both"/>
        <w:rPr>
          <w:color w:val="000000"/>
          <w:sz w:val="28"/>
          <w:szCs w:val="28"/>
        </w:rPr>
      </w:pPr>
      <w:r w:rsidRPr="007D6C0F">
        <w:rPr>
          <w:rFonts w:ascii="Arial" w:hAnsi="Arial" w:cs="Arial"/>
          <w:color w:val="000000"/>
        </w:rPr>
        <w:lastRenderedPageBreak/>
        <w:t>The court believed that the First Respondent erred and should have reasonably seen the disastrous consequences of his action of refusing to heed the warnings made by the Applicant. The First Respondent should have taken steps to mediate not with the Applicant, but with NUM on the subject matter. The First Respondent should not be excused for his ignorance and should be held liable for the breach of its contract with the Applicant.</w:t>
      </w:r>
    </w:p>
    <w:p w14:paraId="59F5DE25" w14:textId="77777777" w:rsidR="00FC237A" w:rsidRDefault="00FC237A">
      <w:pPr>
        <w:rPr>
          <w:rFonts w:ascii="Tahoma" w:hAnsi="Tahoma"/>
          <w:b/>
          <w:sz w:val="28"/>
          <w:lang w:val="en-GB" w:eastAsia="en-US"/>
        </w:rPr>
      </w:pPr>
      <w:bookmarkStart w:id="46" w:name="_Toc349545915"/>
      <w:bookmarkStart w:id="47" w:name="_Toc350776071"/>
      <w:bookmarkStart w:id="48" w:name="_Toc376938992"/>
      <w:bookmarkStart w:id="49" w:name="_Toc395687208"/>
      <w:bookmarkStart w:id="50" w:name="_Toc395691317"/>
      <w:bookmarkStart w:id="51" w:name="_Toc397017537"/>
      <w:r>
        <w:rPr>
          <w:caps/>
        </w:rPr>
        <w:br w:type="page"/>
      </w:r>
    </w:p>
    <w:p w14:paraId="64C1BA5B" w14:textId="78972867" w:rsidR="005F3ADE" w:rsidRDefault="008D5D1C">
      <w:pPr>
        <w:pStyle w:val="TOCHeading0"/>
      </w:pPr>
      <w:bookmarkStart w:id="52" w:name="_Toc71276727"/>
      <w:r>
        <w:rPr>
          <w:caps w:val="0"/>
        </w:rPr>
        <w:lastRenderedPageBreak/>
        <w:t>BIBLIOGRAPHY</w:t>
      </w:r>
      <w:bookmarkEnd w:id="38"/>
      <w:bookmarkEnd w:id="46"/>
      <w:bookmarkEnd w:id="47"/>
      <w:bookmarkEnd w:id="48"/>
      <w:bookmarkEnd w:id="49"/>
      <w:bookmarkEnd w:id="50"/>
      <w:bookmarkEnd w:id="51"/>
      <w:bookmarkEnd w:id="52"/>
    </w:p>
    <w:p w14:paraId="77171616" w14:textId="0CB7188E" w:rsidR="005F3ADE" w:rsidRDefault="008D5D1C">
      <w:pPr>
        <w:pStyle w:val="NormalHeader"/>
      </w:pPr>
      <w:r>
        <w:t>Literature</w:t>
      </w:r>
    </w:p>
    <w:p w14:paraId="02067D8C" w14:textId="6FE5C178" w:rsidR="007D6C0F" w:rsidRPr="007D6C0F" w:rsidRDefault="007D6C0F" w:rsidP="007D6C0F">
      <w:pPr>
        <w:pStyle w:val="NormalWeb"/>
        <w:spacing w:after="360"/>
        <w:ind w:left="709" w:hanging="709"/>
        <w:jc w:val="left"/>
        <w:rPr>
          <w:rFonts w:ascii="Arial" w:hAnsi="Arial" w:cs="Arial"/>
          <w:color w:val="000000"/>
        </w:rPr>
      </w:pPr>
      <w:r w:rsidRPr="007D6C0F">
        <w:rPr>
          <w:rFonts w:ascii="Arial" w:hAnsi="Arial" w:cs="Arial"/>
          <w:color w:val="000000"/>
        </w:rPr>
        <w:t xml:space="preserve">Glencore Operations South Africa </w:t>
      </w:r>
      <w:r w:rsidR="00B579BE">
        <w:rPr>
          <w:rFonts w:ascii="Arial" w:hAnsi="Arial" w:cs="Arial"/>
          <w:color w:val="000000"/>
        </w:rPr>
        <w:t>(</w:t>
      </w:r>
      <w:r w:rsidR="00407A9A">
        <w:rPr>
          <w:rFonts w:ascii="Arial" w:hAnsi="Arial" w:cs="Arial"/>
          <w:color w:val="000000"/>
        </w:rPr>
        <w:t>Pty</w:t>
      </w:r>
      <w:r w:rsidR="00B579BE">
        <w:rPr>
          <w:rFonts w:ascii="Arial" w:hAnsi="Arial" w:cs="Arial"/>
          <w:color w:val="000000"/>
        </w:rPr>
        <w:t>)</w:t>
      </w:r>
      <w:r w:rsidRPr="007D6C0F">
        <w:rPr>
          <w:rFonts w:ascii="Arial" w:hAnsi="Arial" w:cs="Arial"/>
          <w:color w:val="000000"/>
        </w:rPr>
        <w:t xml:space="preserve">Ltd v. NUM obo Simon Maripane. </w:t>
      </w:r>
      <w:hyperlink r:id="rId11" w:history="1">
        <w:r w:rsidRPr="007D6C0F">
          <w:rPr>
            <w:rStyle w:val="Hyperlink"/>
            <w:rFonts w:ascii="Arial" w:hAnsi="Arial" w:cs="Arial"/>
            <w:color w:val="1155CC"/>
            <w:szCs w:val="24"/>
            <w:shd w:val="clear" w:color="auto" w:fill="FFFFFF"/>
          </w:rPr>
          <w:t>https://www.ccma.org.za/Advice/Knowledge-Hub/Downloads/Case-Law</w:t>
        </w:r>
      </w:hyperlink>
      <w:r w:rsidRPr="007D6C0F">
        <w:rPr>
          <w:rFonts w:ascii="Arial" w:hAnsi="Arial" w:cs="Arial"/>
          <w:color w:val="000000"/>
          <w:shd w:val="clear" w:color="auto" w:fill="FFFFFF"/>
        </w:rPr>
        <w:t>  Date of access: 23 Apr. 2021.</w:t>
      </w:r>
    </w:p>
    <w:p w14:paraId="29B72855" w14:textId="363E94D6" w:rsidR="007D6C0F" w:rsidRPr="007D6C0F" w:rsidRDefault="007D6C0F" w:rsidP="007D6C0F">
      <w:pPr>
        <w:pStyle w:val="NormalWeb"/>
        <w:spacing w:after="360"/>
        <w:ind w:left="709" w:hanging="709"/>
        <w:jc w:val="left"/>
        <w:rPr>
          <w:rFonts w:ascii="Arial" w:hAnsi="Arial" w:cs="Arial"/>
          <w:color w:val="000000"/>
        </w:rPr>
      </w:pPr>
      <w:r w:rsidRPr="007D6C0F">
        <w:rPr>
          <w:rFonts w:ascii="Arial" w:hAnsi="Arial" w:cs="Arial"/>
          <w:color w:val="000000"/>
        </w:rPr>
        <w:t xml:space="preserve">Labour Court Rules. </w:t>
      </w:r>
      <w:hyperlink r:id="rId12" w:history="1">
        <w:r w:rsidRPr="007D6C0F">
          <w:rPr>
            <w:rStyle w:val="Hyperlink"/>
            <w:rFonts w:ascii="Arial" w:hAnsi="Arial" w:cs="Arial"/>
            <w:color w:val="1155CC"/>
            <w:szCs w:val="24"/>
          </w:rPr>
          <w:t>https://www.justice.gov.za/legislation/rules/LabourCourt_Rules.pdf</w:t>
        </w:r>
      </w:hyperlink>
    </w:p>
    <w:p w14:paraId="78938155" w14:textId="23986DC0" w:rsidR="007467B0" w:rsidRPr="007D6C0F" w:rsidRDefault="007467B0" w:rsidP="007D6C0F">
      <w:pPr>
        <w:spacing w:after="360" w:line="360" w:lineRule="auto"/>
        <w:ind w:left="709" w:hanging="709"/>
        <w:rPr>
          <w:rFonts w:ascii="Arial" w:hAnsi="Arial" w:cs="Arial"/>
        </w:rPr>
      </w:pPr>
      <w:r w:rsidRPr="007D6C0F">
        <w:rPr>
          <w:rFonts w:ascii="Arial" w:hAnsi="Arial" w:cs="Arial"/>
          <w:i/>
          <w:iCs/>
        </w:rPr>
        <w:t>Labour Relations Act</w:t>
      </w:r>
      <w:r w:rsidRPr="007D6C0F">
        <w:rPr>
          <w:rFonts w:ascii="Arial" w:hAnsi="Arial" w:cs="Arial"/>
        </w:rPr>
        <w:t xml:space="preserve"> 66 of 1995.</w:t>
      </w:r>
    </w:p>
    <w:p w14:paraId="2A8D1DD2" w14:textId="7A0DA583" w:rsidR="00012226" w:rsidRPr="007D6C0F" w:rsidRDefault="00012226" w:rsidP="007D6C0F">
      <w:pPr>
        <w:spacing w:after="360" w:line="360" w:lineRule="auto"/>
        <w:ind w:left="709" w:hanging="709"/>
        <w:rPr>
          <w:rFonts w:ascii="Arial" w:hAnsi="Arial" w:cs="Arial"/>
        </w:rPr>
      </w:pPr>
      <w:r w:rsidRPr="007D6C0F">
        <w:rPr>
          <w:rFonts w:ascii="Arial" w:hAnsi="Arial" w:cs="Arial"/>
        </w:rPr>
        <w:t xml:space="preserve">Nel, P., Kirsten, M., Swanepoel, B., Erasmus, B. </w:t>
      </w:r>
      <w:r w:rsidR="00DB1135" w:rsidRPr="007D6C0F">
        <w:rPr>
          <w:rFonts w:ascii="Arial" w:hAnsi="Arial" w:cs="Arial"/>
        </w:rPr>
        <w:t>&amp;</w:t>
      </w:r>
      <w:r w:rsidRPr="007D6C0F">
        <w:rPr>
          <w:rFonts w:ascii="Arial" w:hAnsi="Arial" w:cs="Arial"/>
        </w:rPr>
        <w:t xml:space="preserve"> Jordaan, B. 2020. </w:t>
      </w:r>
      <w:r w:rsidRPr="007D6C0F">
        <w:rPr>
          <w:rFonts w:ascii="Arial" w:hAnsi="Arial" w:cs="Arial"/>
          <w:i/>
          <w:iCs/>
        </w:rPr>
        <w:t>South African employment relations</w:t>
      </w:r>
      <w:r w:rsidRPr="007D6C0F">
        <w:rPr>
          <w:rFonts w:ascii="Arial" w:hAnsi="Arial" w:cs="Arial"/>
        </w:rPr>
        <w:t>. 8th ed. Pretoria: Van Schaik.</w:t>
      </w:r>
    </w:p>
    <w:p w14:paraId="6BE20A0A" w14:textId="76A59699" w:rsidR="000116DB" w:rsidRPr="000116DB" w:rsidRDefault="000116DB" w:rsidP="000116DB">
      <w:pPr>
        <w:spacing w:after="360" w:line="360" w:lineRule="auto"/>
        <w:ind w:left="709" w:hanging="709"/>
        <w:rPr>
          <w:rFonts w:ascii="Arial" w:hAnsi="Arial" w:cs="Arial"/>
        </w:rPr>
      </w:pPr>
      <w:r w:rsidRPr="000116DB">
        <w:rPr>
          <w:rFonts w:ascii="Arial" w:hAnsi="Arial" w:cs="Arial"/>
          <w:color w:val="000000"/>
          <w:shd w:val="clear" w:color="auto" w:fill="FFFFFF"/>
        </w:rPr>
        <w:t xml:space="preserve">Van der Bank, C.M. 2010. </w:t>
      </w:r>
      <w:r w:rsidRPr="000116DB">
        <w:rPr>
          <w:rFonts w:ascii="Arial" w:hAnsi="Arial" w:cs="Arial"/>
          <w:color w:val="000000"/>
        </w:rPr>
        <w:t xml:space="preserve">A case study in determining fairness of dismissal as a sanction for misconduct in South Africa. </w:t>
      </w:r>
      <w:r w:rsidRPr="000116DB">
        <w:rPr>
          <w:rFonts w:ascii="Arial" w:hAnsi="Arial" w:cs="Arial"/>
          <w:i/>
          <w:iCs/>
          <w:color w:val="000000"/>
        </w:rPr>
        <w:t>African Journal of Political Science and International Relations</w:t>
      </w:r>
      <w:r w:rsidRPr="000116DB">
        <w:rPr>
          <w:rFonts w:ascii="Arial" w:hAnsi="Arial" w:cs="Arial"/>
          <w:color w:val="000000"/>
        </w:rPr>
        <w:t xml:space="preserve">, 4(8):284-289. </w:t>
      </w:r>
      <w:hyperlink r:id="rId13" w:history="1">
        <w:r w:rsidRPr="000116DB">
          <w:rPr>
            <w:rStyle w:val="Hyperlink"/>
            <w:rFonts w:ascii="Arial" w:hAnsi="Arial" w:cs="Arial"/>
            <w:color w:val="1155CC"/>
            <w:szCs w:val="24"/>
          </w:rPr>
          <w:t>https://www.researchgate.net/profile/Christiena-Van-Der-Bank/publication/228645009_A_case_study_in_determining_fairness_of_dismissal_as_a_sanction_for_misconduct_in_South_Africa/links/55e9672108ae21d099c2ebe4/A-case-study-in-determining-fairness-of-dismissal-as-a-sanction-for-misconduct-in-South-Africa.pdf</w:t>
        </w:r>
      </w:hyperlink>
      <w:r w:rsidRPr="000116DB">
        <w:rPr>
          <w:rFonts w:ascii="Arial" w:hAnsi="Arial" w:cs="Arial"/>
          <w:color w:val="000000"/>
        </w:rPr>
        <w:t xml:space="preserve"> Date of access:</w:t>
      </w:r>
      <w:r w:rsidR="00350845">
        <w:rPr>
          <w:rFonts w:ascii="Arial" w:hAnsi="Arial" w:cs="Arial"/>
          <w:color w:val="000000"/>
        </w:rPr>
        <w:t xml:space="preserve"> 3 May 2021.</w:t>
      </w:r>
    </w:p>
    <w:p w14:paraId="6A805406" w14:textId="15229CB2" w:rsidR="007D6C0F" w:rsidRPr="007D6C0F" w:rsidRDefault="007D6C0F" w:rsidP="007D6C0F">
      <w:pPr>
        <w:pStyle w:val="NormalWeb"/>
        <w:spacing w:after="360"/>
        <w:ind w:left="709" w:hanging="709"/>
        <w:jc w:val="left"/>
        <w:rPr>
          <w:rFonts w:ascii="Arial" w:hAnsi="Arial" w:cs="Arial"/>
          <w:color w:val="000000"/>
        </w:rPr>
      </w:pPr>
      <w:r w:rsidRPr="007D6C0F">
        <w:rPr>
          <w:rFonts w:ascii="Arial" w:hAnsi="Arial" w:cs="Arial"/>
          <w:color w:val="000000"/>
          <w:shd w:val="clear" w:color="auto" w:fill="FFFFFF"/>
        </w:rPr>
        <w:t xml:space="preserve">Van Wyk, J. 2021. </w:t>
      </w:r>
      <w:r w:rsidRPr="007D6C0F">
        <w:rPr>
          <w:rFonts w:ascii="Arial" w:hAnsi="Arial" w:cs="Arial"/>
          <w:i/>
          <w:iCs/>
          <w:color w:val="000000"/>
        </w:rPr>
        <w:t>Dismissing an employee for refusing to obey instructions - Werksmans</w:t>
      </w:r>
      <w:r w:rsidRPr="007D6C0F">
        <w:rPr>
          <w:rFonts w:ascii="Arial" w:hAnsi="Arial" w:cs="Arial"/>
          <w:color w:val="000000"/>
        </w:rPr>
        <w:t xml:space="preserve">. </w:t>
      </w:r>
      <w:hyperlink r:id="rId14" w:history="1">
        <w:r w:rsidRPr="007D6C0F">
          <w:rPr>
            <w:rStyle w:val="Hyperlink"/>
            <w:rFonts w:ascii="Arial" w:hAnsi="Arial" w:cs="Arial"/>
            <w:color w:val="1155CC"/>
            <w:szCs w:val="24"/>
            <w:shd w:val="clear" w:color="auto" w:fill="FFFFFF"/>
          </w:rPr>
          <w:t>https://www.werksmans.com/legal-updates-and-opinions/dismissing-employee-refusing-obey-instructions/</w:t>
        </w:r>
      </w:hyperlink>
      <w:r w:rsidRPr="007D6C0F">
        <w:rPr>
          <w:rFonts w:ascii="Arial" w:hAnsi="Arial" w:cs="Arial"/>
          <w:color w:val="000000"/>
          <w:shd w:val="clear" w:color="auto" w:fill="FFFFFF"/>
        </w:rPr>
        <w:t xml:space="preserve"> Date of access: 4 May 2021.</w:t>
      </w:r>
    </w:p>
    <w:p w14:paraId="58245D45" w14:textId="77777777" w:rsidR="007D6C0F" w:rsidRDefault="007D6C0F" w:rsidP="007D6C0F">
      <w:pPr>
        <w:spacing w:after="240"/>
      </w:pPr>
    </w:p>
    <w:p w14:paraId="43B8FA25" w14:textId="19E0B1E8" w:rsidR="005F3ADE" w:rsidRPr="00C3437C" w:rsidRDefault="005F3ADE" w:rsidP="00DB1135">
      <w:pPr>
        <w:spacing w:before="240"/>
        <w:ind w:left="709" w:hanging="709"/>
      </w:pPr>
    </w:p>
    <w:sectPr w:rsidR="005F3ADE" w:rsidRPr="00C3437C">
      <w:footerReference w:type="default" r:id="rId15"/>
      <w:pgSz w:w="11907" w:h="16840" w:code="9"/>
      <w:pgMar w:top="1134" w:right="1134" w:bottom="1418" w:left="1418"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55B9C" w14:textId="77777777" w:rsidR="00AD00AE" w:rsidRDefault="00AD00AE">
      <w:r>
        <w:separator/>
      </w:r>
    </w:p>
  </w:endnote>
  <w:endnote w:type="continuationSeparator" w:id="0">
    <w:p w14:paraId="65D1EAA4" w14:textId="77777777" w:rsidR="00AD00AE" w:rsidRDefault="00AD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F68E0" w14:textId="77777777" w:rsidR="005F3ADE" w:rsidRDefault="008D5D1C">
    <w:pPr>
      <w:pStyle w:val="Footer"/>
    </w:pPr>
    <w:r>
      <w:rPr>
        <w:rStyle w:val="PageNumber"/>
      </w:rPr>
      <w:fldChar w:fldCharType="begin"/>
    </w:r>
    <w:r>
      <w:rPr>
        <w:rStyle w:val="PageNumber"/>
      </w:rPr>
      <w:instrText xml:space="preserve"> PAGE </w:instrText>
    </w:r>
    <w:r>
      <w:rPr>
        <w:rStyle w:val="PageNumber"/>
      </w:rPr>
      <w:fldChar w:fldCharType="separate"/>
    </w:r>
    <w:r w:rsidR="00D12931">
      <w:rPr>
        <w:rStyle w:val="PageNumber"/>
      </w:rPr>
      <w:t>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7C764" w14:textId="77777777" w:rsidR="005F3ADE" w:rsidRDefault="008D5D1C">
    <w:pPr>
      <w:pStyle w:val="Footer"/>
    </w:pPr>
    <w:r>
      <w:rPr>
        <w:rStyle w:val="PageNumber"/>
      </w:rPr>
      <w:fldChar w:fldCharType="begin"/>
    </w:r>
    <w:r>
      <w:rPr>
        <w:rStyle w:val="PageNumber"/>
      </w:rPr>
      <w:instrText xml:space="preserve"> PAGE </w:instrText>
    </w:r>
    <w:r>
      <w:rPr>
        <w:rStyle w:val="PageNumber"/>
      </w:rPr>
      <w:fldChar w:fldCharType="separate"/>
    </w:r>
    <w:r w:rsidR="00D12931">
      <w:rPr>
        <w:rStyle w:val="PageNumber"/>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B135C" w14:textId="77777777" w:rsidR="00AD00AE" w:rsidRDefault="00AD00AE">
      <w:r>
        <w:separator/>
      </w:r>
    </w:p>
  </w:footnote>
  <w:footnote w:type="continuationSeparator" w:id="0">
    <w:p w14:paraId="7FFEAE3D" w14:textId="77777777" w:rsidR="00AD00AE" w:rsidRDefault="00AD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BD717" w14:textId="77777777" w:rsidR="005F3ADE" w:rsidRDefault="005F3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0B03DA8"/>
    <w:lvl w:ilvl="0">
      <w:start w:val="1"/>
      <w:numFmt w:val="decimal"/>
      <w:pStyle w:val="ListNumber5"/>
      <w:lvlText w:val="%1."/>
      <w:lvlJc w:val="left"/>
      <w:pPr>
        <w:tabs>
          <w:tab w:val="num" w:pos="2835"/>
        </w:tabs>
        <w:ind w:left="2835" w:hanging="567"/>
      </w:pPr>
      <w:rPr>
        <w:rFonts w:hint="default"/>
      </w:rPr>
    </w:lvl>
  </w:abstractNum>
  <w:abstractNum w:abstractNumId="1" w15:restartNumberingAfterBreak="0">
    <w:nsid w:val="FFFFFF7D"/>
    <w:multiLevelType w:val="singleLevel"/>
    <w:tmpl w:val="21B20BBC"/>
    <w:lvl w:ilvl="0">
      <w:start w:val="1"/>
      <w:numFmt w:val="decimal"/>
      <w:pStyle w:val="ListNumber4"/>
      <w:lvlText w:val="%1."/>
      <w:lvlJc w:val="left"/>
      <w:pPr>
        <w:tabs>
          <w:tab w:val="num" w:pos="2268"/>
        </w:tabs>
        <w:ind w:left="2268" w:hanging="567"/>
      </w:pPr>
      <w:rPr>
        <w:rFonts w:hint="default"/>
      </w:rPr>
    </w:lvl>
  </w:abstractNum>
  <w:abstractNum w:abstractNumId="2" w15:restartNumberingAfterBreak="0">
    <w:nsid w:val="FFFFFF7E"/>
    <w:multiLevelType w:val="singleLevel"/>
    <w:tmpl w:val="C910199E"/>
    <w:lvl w:ilvl="0">
      <w:start w:val="1"/>
      <w:numFmt w:val="decimal"/>
      <w:pStyle w:val="ListNumber3"/>
      <w:lvlText w:val="%1."/>
      <w:lvlJc w:val="left"/>
      <w:pPr>
        <w:tabs>
          <w:tab w:val="num" w:pos="1701"/>
        </w:tabs>
        <w:ind w:left="1701" w:hanging="567"/>
      </w:pPr>
      <w:rPr>
        <w:rFonts w:hint="default"/>
      </w:rPr>
    </w:lvl>
  </w:abstractNum>
  <w:abstractNum w:abstractNumId="3" w15:restartNumberingAfterBreak="0">
    <w:nsid w:val="FFFFFF7F"/>
    <w:multiLevelType w:val="singleLevel"/>
    <w:tmpl w:val="112E83D4"/>
    <w:lvl w:ilvl="0">
      <w:start w:val="1"/>
      <w:numFmt w:val="decimal"/>
      <w:pStyle w:val="ListNumber2"/>
      <w:lvlText w:val="%1."/>
      <w:lvlJc w:val="left"/>
      <w:pPr>
        <w:tabs>
          <w:tab w:val="num" w:pos="1134"/>
        </w:tabs>
        <w:ind w:left="1134" w:hanging="567"/>
      </w:pPr>
      <w:rPr>
        <w:rFonts w:hint="default"/>
      </w:rPr>
    </w:lvl>
  </w:abstractNum>
  <w:abstractNum w:abstractNumId="4" w15:restartNumberingAfterBreak="0">
    <w:nsid w:val="FFFFFF80"/>
    <w:multiLevelType w:val="singleLevel"/>
    <w:tmpl w:val="7A3A8C3E"/>
    <w:lvl w:ilvl="0">
      <w:start w:val="1"/>
      <w:numFmt w:val="bullet"/>
      <w:pStyle w:val="ListBullet5"/>
      <w:lvlText w:val=""/>
      <w:lvlJc w:val="left"/>
      <w:pPr>
        <w:tabs>
          <w:tab w:val="num" w:pos="1786"/>
        </w:tabs>
        <w:ind w:left="1786" w:hanging="357"/>
      </w:pPr>
      <w:rPr>
        <w:rFonts w:ascii="Symbol" w:hAnsi="Symbol" w:hint="default"/>
      </w:rPr>
    </w:lvl>
  </w:abstractNum>
  <w:abstractNum w:abstractNumId="5" w15:restartNumberingAfterBreak="0">
    <w:nsid w:val="FFFFFF81"/>
    <w:multiLevelType w:val="singleLevel"/>
    <w:tmpl w:val="2514CEAE"/>
    <w:lvl w:ilvl="0">
      <w:start w:val="1"/>
      <w:numFmt w:val="bullet"/>
      <w:pStyle w:val="ListBullet4"/>
      <w:lvlText w:val=""/>
      <w:lvlJc w:val="left"/>
      <w:pPr>
        <w:tabs>
          <w:tab w:val="num" w:pos="1429"/>
        </w:tabs>
        <w:ind w:left="1429" w:hanging="357"/>
      </w:pPr>
      <w:rPr>
        <w:rFonts w:ascii="Symbol" w:hAnsi="Symbol" w:hint="default"/>
      </w:rPr>
    </w:lvl>
  </w:abstractNum>
  <w:abstractNum w:abstractNumId="6" w15:restartNumberingAfterBreak="0">
    <w:nsid w:val="FFFFFF82"/>
    <w:multiLevelType w:val="singleLevel"/>
    <w:tmpl w:val="3A261A22"/>
    <w:lvl w:ilvl="0">
      <w:start w:val="1"/>
      <w:numFmt w:val="bullet"/>
      <w:pStyle w:val="ListBullet3"/>
      <w:lvlText w:val=""/>
      <w:lvlJc w:val="left"/>
      <w:pPr>
        <w:tabs>
          <w:tab w:val="num" w:pos="1072"/>
        </w:tabs>
        <w:ind w:left="1072" w:hanging="358"/>
      </w:pPr>
      <w:rPr>
        <w:rFonts w:ascii="Symbol" w:hAnsi="Symbol" w:hint="default"/>
      </w:rPr>
    </w:lvl>
  </w:abstractNum>
  <w:abstractNum w:abstractNumId="7" w15:restartNumberingAfterBreak="0">
    <w:nsid w:val="FFFFFF83"/>
    <w:multiLevelType w:val="singleLevel"/>
    <w:tmpl w:val="F628F8B0"/>
    <w:lvl w:ilvl="0">
      <w:start w:val="1"/>
      <w:numFmt w:val="bullet"/>
      <w:pStyle w:val="ListBullet2"/>
      <w:lvlText w:val=""/>
      <w:lvlJc w:val="left"/>
      <w:pPr>
        <w:tabs>
          <w:tab w:val="num" w:pos="714"/>
        </w:tabs>
        <w:ind w:left="714" w:hanging="357"/>
      </w:pPr>
      <w:rPr>
        <w:rFonts w:ascii="Symbol" w:hAnsi="Symbol" w:hint="default"/>
      </w:rPr>
    </w:lvl>
  </w:abstractNum>
  <w:abstractNum w:abstractNumId="8" w15:restartNumberingAfterBreak="0">
    <w:nsid w:val="FFFFFF88"/>
    <w:multiLevelType w:val="singleLevel"/>
    <w:tmpl w:val="B96009AC"/>
    <w:lvl w:ilvl="0">
      <w:start w:val="1"/>
      <w:numFmt w:val="decimal"/>
      <w:pStyle w:val="ListNumber"/>
      <w:lvlText w:val="%1"/>
      <w:lvlJc w:val="left"/>
      <w:pPr>
        <w:ind w:left="567" w:hanging="567"/>
      </w:pPr>
      <w:rPr>
        <w:rFonts w:hint="default"/>
      </w:rPr>
    </w:lvl>
  </w:abstractNum>
  <w:abstractNum w:abstractNumId="9" w15:restartNumberingAfterBreak="0">
    <w:nsid w:val="FFFFFF89"/>
    <w:multiLevelType w:val="singleLevel"/>
    <w:tmpl w:val="97AAC87E"/>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07C83D8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3420AB"/>
    <w:multiLevelType w:val="hybridMultilevel"/>
    <w:tmpl w:val="382C4B76"/>
    <w:lvl w:ilvl="0" w:tplc="AED0CFCA">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ACF5A87"/>
    <w:multiLevelType w:val="multilevel"/>
    <w:tmpl w:val="B3BE0C7C"/>
    <w:lvl w:ilvl="0">
      <w:start w:val="1"/>
      <w:numFmt w:val="lowerRoman"/>
      <w:pStyle w:val="ListNumberRoman"/>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12735BB"/>
    <w:multiLevelType w:val="hybridMultilevel"/>
    <w:tmpl w:val="85C4269C"/>
    <w:lvl w:ilvl="0" w:tplc="A8183B02">
      <w:start w:val="1"/>
      <w:numFmt w:val="decimal"/>
      <w:lvlText w:val="%1."/>
      <w:lvlJc w:val="left"/>
      <w:pPr>
        <w:ind w:left="720" w:hanging="360"/>
      </w:pPr>
      <w:rPr>
        <w:rFonts w:ascii="Arial"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604487"/>
    <w:multiLevelType w:val="hybridMultilevel"/>
    <w:tmpl w:val="00CE5DC8"/>
    <w:lvl w:ilvl="0" w:tplc="4190BA6A">
      <w:start w:val="1"/>
      <w:numFmt w:val="decimal"/>
      <w:pStyle w:val="ListNumberBrackets5"/>
      <w:lvlText w:val="(%1)"/>
      <w:lvlJc w:val="left"/>
      <w:pPr>
        <w:tabs>
          <w:tab w:val="num" w:pos="2835"/>
        </w:tabs>
        <w:ind w:left="2835"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6A2BE4"/>
    <w:multiLevelType w:val="hybridMultilevel"/>
    <w:tmpl w:val="A170DA30"/>
    <w:lvl w:ilvl="0" w:tplc="505674DC">
      <w:start w:val="1"/>
      <w:numFmt w:val="decimal"/>
      <w:pStyle w:val="ListNumberBrackets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E25504"/>
    <w:multiLevelType w:val="hybridMultilevel"/>
    <w:tmpl w:val="76587892"/>
    <w:lvl w:ilvl="0" w:tplc="E094340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3B46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40EC66FE"/>
    <w:multiLevelType w:val="hybridMultilevel"/>
    <w:tmpl w:val="9326835E"/>
    <w:lvl w:ilvl="0" w:tplc="E3A2490A">
      <w:start w:val="1"/>
      <w:numFmt w:val="lowerLetter"/>
      <w:pStyle w:val="ListABC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32599B"/>
    <w:multiLevelType w:val="multilevel"/>
    <w:tmpl w:val="12BCFC3A"/>
    <w:lvl w:ilvl="0">
      <w:start w:val="1"/>
      <w:numFmt w:val="lowerRoman"/>
      <w:pStyle w:val="ListNumberRoman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40C3A70"/>
    <w:multiLevelType w:val="multilevel"/>
    <w:tmpl w:val="F9FA7A42"/>
    <w:lvl w:ilvl="0">
      <w:start w:val="1"/>
      <w:numFmt w:val="lowerLetter"/>
      <w:pStyle w:val="ListNumberAlfabet"/>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8C63F0"/>
    <w:multiLevelType w:val="hybridMultilevel"/>
    <w:tmpl w:val="DE6A043A"/>
    <w:lvl w:ilvl="0" w:tplc="9BF69AB0">
      <w:start w:val="1"/>
      <w:numFmt w:val="decimal"/>
      <w:pStyle w:val="ListNumberBrackets3"/>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EB48D5"/>
    <w:multiLevelType w:val="hybridMultilevel"/>
    <w:tmpl w:val="A3823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D27922"/>
    <w:multiLevelType w:val="multilevel"/>
    <w:tmpl w:val="A800782E"/>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5F824BA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2923DA0"/>
    <w:multiLevelType w:val="multilevel"/>
    <w:tmpl w:val="D4ECD7EE"/>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6" w15:restartNumberingAfterBreak="0">
    <w:nsid w:val="69C62422"/>
    <w:multiLevelType w:val="hybridMultilevel"/>
    <w:tmpl w:val="2F74E71C"/>
    <w:lvl w:ilvl="0" w:tplc="71C61C0A">
      <w:start w:val="1"/>
      <w:numFmt w:val="lowerLetter"/>
      <w:pStyle w:val="ListABC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3E2699"/>
    <w:multiLevelType w:val="multilevel"/>
    <w:tmpl w:val="0FCC8A88"/>
    <w:lvl w:ilvl="0">
      <w:start w:val="1"/>
      <w:numFmt w:val="lowerLetter"/>
      <w:pStyle w:val="ListNumberAlfabet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2F74B50"/>
    <w:multiLevelType w:val="hybridMultilevel"/>
    <w:tmpl w:val="BCB29B36"/>
    <w:lvl w:ilvl="0" w:tplc="1076E5AC">
      <w:start w:val="1"/>
      <w:numFmt w:val="decimal"/>
      <w:pStyle w:val="ListNumberBrackets4"/>
      <w:lvlText w:val="(%1)"/>
      <w:lvlJc w:val="left"/>
      <w:pPr>
        <w:tabs>
          <w:tab w:val="num" w:pos="2268"/>
        </w:tabs>
        <w:ind w:left="2268"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24"/>
  </w:num>
  <w:num w:numId="14">
    <w:abstractNumId w:val="17"/>
  </w:num>
  <w:num w:numId="15">
    <w:abstractNumId w:val="18"/>
  </w:num>
  <w:num w:numId="16">
    <w:abstractNumId w:val="26"/>
  </w:num>
  <w:num w:numId="17">
    <w:abstractNumId w:val="15"/>
  </w:num>
  <w:num w:numId="18">
    <w:abstractNumId w:val="21"/>
  </w:num>
  <w:num w:numId="19">
    <w:abstractNumId w:val="28"/>
  </w:num>
  <w:num w:numId="20">
    <w:abstractNumId w:val="14"/>
  </w:num>
  <w:num w:numId="21">
    <w:abstractNumId w:val="12"/>
  </w:num>
  <w:num w:numId="22">
    <w:abstractNumId w:val="20"/>
  </w:num>
  <w:num w:numId="23">
    <w:abstractNumId w:val="19"/>
  </w:num>
  <w:num w:numId="24">
    <w:abstractNumId w:val="16"/>
  </w:num>
  <w:num w:numId="25">
    <w:abstractNumId w:val="27"/>
  </w:num>
  <w:num w:numId="26">
    <w:abstractNumId w:val="11"/>
  </w:num>
  <w:num w:numId="27">
    <w:abstractNumId w:val="25"/>
  </w:num>
  <w:num w:numId="28">
    <w:abstractNumId w:val="25"/>
  </w:num>
  <w:num w:numId="29">
    <w:abstractNumId w:val="23"/>
  </w:num>
  <w:num w:numId="30">
    <w:abstractNumId w:val="22"/>
  </w:num>
  <w:num w:numId="31">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3MDcxNDIyMLcwtDRT0lEKTi0uzszPAykwrAUAYRpeoSwAAAA="/>
  </w:docVars>
  <w:rsids>
    <w:rsidRoot w:val="00BF1AAF"/>
    <w:rsid w:val="000116DB"/>
    <w:rsid w:val="00012226"/>
    <w:rsid w:val="00040C57"/>
    <w:rsid w:val="00093AB6"/>
    <w:rsid w:val="000C289D"/>
    <w:rsid w:val="002124EA"/>
    <w:rsid w:val="0026297B"/>
    <w:rsid w:val="00297BDB"/>
    <w:rsid w:val="002A2EEE"/>
    <w:rsid w:val="002F02EA"/>
    <w:rsid w:val="00313EC2"/>
    <w:rsid w:val="00320C6C"/>
    <w:rsid w:val="00350845"/>
    <w:rsid w:val="0037417A"/>
    <w:rsid w:val="003831AE"/>
    <w:rsid w:val="00407A9A"/>
    <w:rsid w:val="004172E5"/>
    <w:rsid w:val="00522423"/>
    <w:rsid w:val="00592423"/>
    <w:rsid w:val="005E2720"/>
    <w:rsid w:val="005F3ADE"/>
    <w:rsid w:val="00610DE0"/>
    <w:rsid w:val="00643E1D"/>
    <w:rsid w:val="006C6D29"/>
    <w:rsid w:val="007467B0"/>
    <w:rsid w:val="00761EC1"/>
    <w:rsid w:val="007D6C0F"/>
    <w:rsid w:val="007F2AFD"/>
    <w:rsid w:val="008079A5"/>
    <w:rsid w:val="00854569"/>
    <w:rsid w:val="008812B8"/>
    <w:rsid w:val="008D5D1C"/>
    <w:rsid w:val="00941BF2"/>
    <w:rsid w:val="00982E11"/>
    <w:rsid w:val="00A64E3A"/>
    <w:rsid w:val="00AD00AE"/>
    <w:rsid w:val="00B009A8"/>
    <w:rsid w:val="00B46188"/>
    <w:rsid w:val="00B579BE"/>
    <w:rsid w:val="00BC1975"/>
    <w:rsid w:val="00BD34C3"/>
    <w:rsid w:val="00BD7081"/>
    <w:rsid w:val="00BF1AAF"/>
    <w:rsid w:val="00C3437C"/>
    <w:rsid w:val="00C774C2"/>
    <w:rsid w:val="00D12931"/>
    <w:rsid w:val="00D32BF0"/>
    <w:rsid w:val="00DA0BD0"/>
    <w:rsid w:val="00DA42EE"/>
    <w:rsid w:val="00DB1135"/>
    <w:rsid w:val="00DF6B03"/>
    <w:rsid w:val="00E252FA"/>
    <w:rsid w:val="00E37316"/>
    <w:rsid w:val="00E52BA4"/>
    <w:rsid w:val="00E77DF6"/>
    <w:rsid w:val="00EA2641"/>
    <w:rsid w:val="00EE061E"/>
    <w:rsid w:val="00F105F3"/>
    <w:rsid w:val="00F44883"/>
    <w:rsid w:val="00F4766A"/>
    <w:rsid w:val="00FC23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4799E1"/>
  <w15:docId w15:val="{500A30B1-CD6F-A742-9198-C9FB7EDB7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C0F"/>
    <w:rPr>
      <w:sz w:val="24"/>
      <w:szCs w:val="24"/>
      <w:lang w:eastAsia="en-GB"/>
    </w:rPr>
  </w:style>
  <w:style w:type="paragraph" w:styleId="Heading1">
    <w:name w:val="heading 1"/>
    <w:basedOn w:val="Normal"/>
    <w:next w:val="Normal"/>
    <w:link w:val="Heading1Char"/>
    <w:autoRedefine/>
    <w:qFormat/>
    <w:rsid w:val="00407A9A"/>
    <w:pPr>
      <w:keepNext/>
      <w:numPr>
        <w:numId w:val="29"/>
      </w:numPr>
      <w:spacing w:before="240" w:after="120" w:line="360" w:lineRule="auto"/>
      <w:ind w:left="425" w:hanging="357"/>
      <w:outlineLvl w:val="0"/>
    </w:pPr>
    <w:rPr>
      <w:rFonts w:ascii="Arial" w:hAnsi="Arial" w:cs="Tahoma"/>
      <w:b/>
      <w:bCs/>
      <w:kern w:val="32"/>
      <w:lang w:val="en-GB" w:eastAsia="en-ZA"/>
    </w:rPr>
  </w:style>
  <w:style w:type="paragraph" w:styleId="Heading2">
    <w:name w:val="heading 2"/>
    <w:basedOn w:val="Normal"/>
    <w:next w:val="Normal"/>
    <w:autoRedefine/>
    <w:qFormat/>
    <w:rsid w:val="00407A9A"/>
    <w:pPr>
      <w:keepNext/>
      <w:numPr>
        <w:ilvl w:val="1"/>
        <w:numId w:val="28"/>
      </w:numPr>
      <w:spacing w:before="120" w:after="120" w:line="360" w:lineRule="auto"/>
      <w:ind w:left="578" w:hanging="578"/>
      <w:outlineLvl w:val="1"/>
    </w:pPr>
    <w:rPr>
      <w:rFonts w:ascii="Arial" w:hAnsi="Arial" w:cs="Arial"/>
      <w:b/>
      <w:bCs/>
      <w:i/>
      <w:iCs/>
      <w:szCs w:val="22"/>
      <w:lang w:val="en-GB"/>
    </w:rPr>
  </w:style>
  <w:style w:type="paragraph" w:styleId="Heading3">
    <w:name w:val="heading 3"/>
    <w:basedOn w:val="Normal"/>
    <w:next w:val="Normal"/>
    <w:autoRedefine/>
    <w:qFormat/>
    <w:pPr>
      <w:keepNext/>
      <w:numPr>
        <w:ilvl w:val="2"/>
        <w:numId w:val="28"/>
      </w:numPr>
      <w:spacing w:before="120" w:after="240" w:line="360" w:lineRule="auto"/>
      <w:outlineLvl w:val="2"/>
    </w:pPr>
    <w:rPr>
      <w:rFonts w:ascii="Tahoma" w:hAnsi="Tahoma" w:cs="Arial"/>
      <w:bCs/>
      <w:i/>
      <w:szCs w:val="20"/>
      <w:lang w:val="en-GB" w:eastAsia="en-US"/>
    </w:rPr>
  </w:style>
  <w:style w:type="paragraph" w:styleId="Heading4">
    <w:name w:val="heading 4"/>
    <w:basedOn w:val="Normal"/>
    <w:next w:val="Normal"/>
    <w:autoRedefine/>
    <w:qFormat/>
    <w:pPr>
      <w:keepNext/>
      <w:numPr>
        <w:ilvl w:val="3"/>
        <w:numId w:val="28"/>
      </w:numPr>
      <w:spacing w:before="120" w:after="240" w:line="360" w:lineRule="auto"/>
      <w:outlineLvl w:val="3"/>
    </w:pPr>
    <w:rPr>
      <w:rFonts w:ascii="Tahoma" w:hAnsi="Tahoma"/>
      <w:bCs/>
      <w:szCs w:val="20"/>
      <w:lang w:val="en-GB" w:eastAsia="en-US"/>
    </w:rPr>
  </w:style>
  <w:style w:type="paragraph" w:styleId="Heading5">
    <w:name w:val="heading 5"/>
    <w:basedOn w:val="Normal"/>
    <w:next w:val="Normal"/>
    <w:qFormat/>
    <w:pPr>
      <w:keepNext/>
      <w:numPr>
        <w:ilvl w:val="4"/>
        <w:numId w:val="28"/>
      </w:numPr>
      <w:tabs>
        <w:tab w:val="left" w:pos="1134"/>
      </w:tabs>
      <w:spacing w:before="120" w:after="240" w:line="360" w:lineRule="auto"/>
      <w:outlineLvl w:val="4"/>
    </w:pPr>
    <w:rPr>
      <w:rFonts w:ascii="Tahoma" w:hAnsi="Tahoma"/>
      <w:bCs/>
      <w:iCs/>
      <w:szCs w:val="20"/>
      <w:lang w:val="en-GB" w:eastAsia="en-US"/>
    </w:rPr>
  </w:style>
  <w:style w:type="paragraph" w:styleId="Heading6">
    <w:name w:val="heading 6"/>
    <w:basedOn w:val="Normal"/>
    <w:next w:val="Normal"/>
    <w:semiHidden/>
    <w:qFormat/>
    <w:pPr>
      <w:keepNext/>
      <w:numPr>
        <w:ilvl w:val="5"/>
        <w:numId w:val="28"/>
      </w:numPr>
      <w:spacing w:before="120" w:after="240" w:line="360" w:lineRule="auto"/>
      <w:jc w:val="both"/>
      <w:outlineLvl w:val="5"/>
    </w:pPr>
    <w:rPr>
      <w:rFonts w:ascii="Tahoma" w:hAnsi="Tahoma"/>
      <w:bCs/>
      <w:szCs w:val="22"/>
      <w:lang w:val="en-GB" w:eastAsia="en-US"/>
    </w:rPr>
  </w:style>
  <w:style w:type="paragraph" w:styleId="Heading7">
    <w:name w:val="heading 7"/>
    <w:basedOn w:val="Normal"/>
    <w:next w:val="Normal"/>
    <w:semiHidden/>
    <w:qFormat/>
    <w:pPr>
      <w:keepNext/>
      <w:numPr>
        <w:ilvl w:val="6"/>
        <w:numId w:val="28"/>
      </w:numPr>
      <w:spacing w:before="120" w:after="240" w:line="360" w:lineRule="auto"/>
      <w:jc w:val="both"/>
      <w:outlineLvl w:val="6"/>
    </w:pPr>
    <w:rPr>
      <w:rFonts w:ascii="Tahoma" w:hAnsi="Tahoma"/>
      <w:lang w:val="en-GB" w:eastAsia="en-US"/>
    </w:rPr>
  </w:style>
  <w:style w:type="paragraph" w:styleId="Heading8">
    <w:name w:val="heading 8"/>
    <w:basedOn w:val="Normal"/>
    <w:next w:val="Normal"/>
    <w:semiHidden/>
    <w:qFormat/>
    <w:pPr>
      <w:keepNext/>
      <w:numPr>
        <w:ilvl w:val="7"/>
        <w:numId w:val="28"/>
      </w:numPr>
      <w:spacing w:before="120" w:after="240" w:line="360" w:lineRule="auto"/>
      <w:jc w:val="both"/>
      <w:outlineLvl w:val="7"/>
    </w:pPr>
    <w:rPr>
      <w:rFonts w:ascii="Tahoma" w:hAnsi="Tahoma"/>
      <w:iCs/>
      <w:lang w:val="en-GB" w:eastAsia="en-US"/>
    </w:rPr>
  </w:style>
  <w:style w:type="paragraph" w:styleId="Heading9">
    <w:name w:val="heading 9"/>
    <w:basedOn w:val="Normal"/>
    <w:next w:val="Normal"/>
    <w:semiHidden/>
    <w:qFormat/>
    <w:pPr>
      <w:keepNext/>
      <w:numPr>
        <w:ilvl w:val="8"/>
        <w:numId w:val="28"/>
      </w:numPr>
      <w:spacing w:before="120" w:after="240" w:line="360" w:lineRule="auto"/>
      <w:jc w:val="both"/>
      <w:outlineLvl w:val="8"/>
    </w:pPr>
    <w:rPr>
      <w:rFonts w:ascii="Tahoma" w:hAnsi="Tahoma" w:cs="Arial"/>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semiHidden/>
    <w:qFormat/>
    <w:pPr>
      <w:keepLines/>
      <w:numPr>
        <w:numId w:val="0"/>
      </w:numPr>
      <w:spacing w:before="480" w:after="0"/>
      <w:outlineLvl w:val="9"/>
    </w:pPr>
    <w:rPr>
      <w:rFonts w:ascii="Cambria" w:eastAsiaTheme="majorEastAsia" w:hAnsi="Cambria" w:cstheme="majorBidi"/>
      <w:color w:val="365F91"/>
      <w:kern w:val="0"/>
      <w:sz w:val="28"/>
      <w:szCs w:val="28"/>
    </w:rPr>
  </w:style>
  <w:style w:type="paragraph" w:customStyle="1" w:styleId="Citation">
    <w:name w:val="Citation"/>
    <w:basedOn w:val="Normal"/>
    <w:next w:val="Normal"/>
    <w:autoRedefine/>
    <w:semiHidden/>
    <w:qFormat/>
    <w:pPr>
      <w:spacing w:after="240"/>
      <w:ind w:left="425" w:right="425"/>
      <w:jc w:val="both"/>
    </w:pPr>
    <w:rPr>
      <w:rFonts w:ascii="Tahoma" w:hAnsi="Tahoma"/>
      <w:i/>
      <w:szCs w:val="20"/>
      <w:lang w:val="en-GB" w:eastAsia="en-US"/>
    </w:rPr>
  </w:style>
  <w:style w:type="paragraph" w:customStyle="1" w:styleId="Heading0">
    <w:name w:val="Heading 0"/>
    <w:basedOn w:val="Normal"/>
    <w:next w:val="Heading1"/>
    <w:autoRedefine/>
    <w:pPr>
      <w:keepNext/>
      <w:spacing w:after="360" w:line="360" w:lineRule="auto"/>
      <w:jc w:val="both"/>
    </w:pPr>
    <w:rPr>
      <w:rFonts w:ascii="Tahoma" w:hAnsi="Tahoma"/>
      <w:b/>
      <w:caps/>
      <w:sz w:val="28"/>
      <w:szCs w:val="20"/>
      <w:lang w:val="en-GB" w:eastAsia="en-US"/>
    </w:rPr>
  </w:style>
  <w:style w:type="paragraph" w:customStyle="1" w:styleId="Department">
    <w:name w:val="Department"/>
    <w:basedOn w:val="Normal"/>
    <w:next w:val="Normal"/>
    <w:semiHidden/>
    <w:pPr>
      <w:spacing w:after="240" w:line="360" w:lineRule="auto"/>
      <w:jc w:val="both"/>
    </w:pPr>
    <w:rPr>
      <w:rFonts w:ascii="Tahoma" w:hAnsi="Tahoma"/>
      <w:b/>
      <w:sz w:val="18"/>
      <w:szCs w:val="18"/>
      <w:lang w:val="en-GB" w:eastAsia="en-US"/>
    </w:rPr>
  </w:style>
  <w:style w:type="paragraph" w:customStyle="1" w:styleId="DocSource">
    <w:name w:val="DocSource"/>
    <w:basedOn w:val="Normal"/>
    <w:semiHidden/>
    <w:pPr>
      <w:spacing w:after="240" w:line="360" w:lineRule="auto"/>
    </w:pPr>
    <w:rPr>
      <w:rFonts w:ascii="Tahoma" w:hAnsi="Tahoma"/>
      <w:sz w:val="12"/>
      <w:szCs w:val="12"/>
      <w:lang w:val="en-GB" w:eastAsia="en-US"/>
    </w:rPr>
  </w:style>
  <w:style w:type="paragraph" w:customStyle="1" w:styleId="FrontPageTitle">
    <w:name w:val="FrontPage_Title"/>
    <w:basedOn w:val="Normal"/>
    <w:next w:val="Normal"/>
    <w:semiHidden/>
    <w:pPr>
      <w:spacing w:after="1200" w:line="360" w:lineRule="auto"/>
      <w:jc w:val="center"/>
    </w:pPr>
    <w:rPr>
      <w:rFonts w:ascii="Bookman Old Style" w:hAnsi="Bookman Old Style"/>
      <w:b/>
      <w:sz w:val="40"/>
      <w:szCs w:val="20"/>
      <w:lang w:val="en-GB" w:eastAsia="en-US"/>
    </w:rPr>
  </w:style>
  <w:style w:type="paragraph" w:styleId="Footer">
    <w:name w:val="footer"/>
    <w:basedOn w:val="Normal"/>
    <w:autoRedefine/>
    <w:pPr>
      <w:tabs>
        <w:tab w:val="right" w:pos="9582"/>
        <w:tab w:val="right" w:pos="14799"/>
      </w:tabs>
      <w:jc w:val="center"/>
    </w:pPr>
    <w:rPr>
      <w:rFonts w:ascii="Tahoma" w:hAnsi="Tahoma"/>
      <w:noProof/>
      <w:szCs w:val="16"/>
      <w:lang w:val="en-GB" w:eastAsia="en-US"/>
    </w:rPr>
  </w:style>
  <w:style w:type="character" w:styleId="FootnoteReference">
    <w:name w:val="footnote reference"/>
    <w:rPr>
      <w:rFonts w:ascii="Arial" w:hAnsi="Arial"/>
      <w:sz w:val="20"/>
      <w:vertAlign w:val="superscript"/>
      <w:lang w:val="en-ZA"/>
    </w:rPr>
  </w:style>
  <w:style w:type="paragraph" w:styleId="FootnoteText">
    <w:name w:val="footnote text"/>
    <w:basedOn w:val="Normal"/>
    <w:autoRedefine/>
    <w:pPr>
      <w:tabs>
        <w:tab w:val="left" w:pos="426"/>
      </w:tabs>
      <w:ind w:left="425" w:hanging="425"/>
      <w:jc w:val="both"/>
    </w:pPr>
    <w:rPr>
      <w:rFonts w:ascii="Tahoma" w:hAnsi="Tahoma"/>
      <w:sz w:val="20"/>
      <w:szCs w:val="20"/>
      <w:lang w:val="en-GB" w:eastAsia="en-ZA"/>
    </w:rPr>
  </w:style>
  <w:style w:type="paragraph" w:customStyle="1" w:styleId="TableHeading">
    <w:name w:val="Table_Heading"/>
    <w:basedOn w:val="Normal"/>
    <w:next w:val="Normal"/>
    <w:pPr>
      <w:keepNext/>
      <w:spacing w:before="60" w:after="60"/>
      <w:jc w:val="center"/>
    </w:pPr>
    <w:rPr>
      <w:rFonts w:ascii="Tahoma" w:hAnsi="Tahoma"/>
      <w:b/>
      <w:szCs w:val="20"/>
      <w:lang w:val="en-GB" w:eastAsia="en-US"/>
    </w:rPr>
  </w:style>
  <w:style w:type="character" w:styleId="Hyperlink">
    <w:name w:val="Hyperlink"/>
    <w:uiPriority w:val="99"/>
    <w:rPr>
      <w:rFonts w:ascii="Tahoma" w:hAnsi="Tahoma"/>
      <w:color w:val="0000FF"/>
      <w:sz w:val="24"/>
      <w:szCs w:val="20"/>
      <w:u w:val="single"/>
      <w:lang w:val="en-ZA"/>
    </w:rPr>
  </w:style>
  <w:style w:type="character" w:styleId="PageNumber">
    <w:name w:val="page number"/>
    <w:rPr>
      <w:rFonts w:ascii="Arial" w:hAnsi="Arial"/>
      <w:sz w:val="24"/>
      <w:szCs w:val="20"/>
      <w:lang w:val="en-ZA"/>
    </w:rPr>
  </w:style>
  <w:style w:type="paragraph" w:customStyle="1" w:styleId="TableParagraphAfter">
    <w:name w:val="Table_ParagraphAfter"/>
    <w:basedOn w:val="Normal"/>
    <w:next w:val="Normal"/>
    <w:pPr>
      <w:spacing w:before="240" w:after="240" w:line="360" w:lineRule="auto"/>
      <w:jc w:val="both"/>
    </w:pPr>
    <w:rPr>
      <w:rFonts w:ascii="Tahoma" w:hAnsi="Tahoma"/>
      <w:szCs w:val="20"/>
      <w:lang w:val="en-GB" w:eastAsia="en-US"/>
    </w:rPr>
  </w:style>
  <w:style w:type="paragraph" w:customStyle="1" w:styleId="TOCHeading0">
    <w:name w:val="TOC_Heading"/>
    <w:basedOn w:val="Normal"/>
    <w:next w:val="TOC1"/>
    <w:autoRedefine/>
    <w:pPr>
      <w:keepNext/>
      <w:spacing w:after="360" w:line="360" w:lineRule="auto"/>
    </w:pPr>
    <w:rPr>
      <w:rFonts w:ascii="Tahoma" w:hAnsi="Tahoma"/>
      <w:b/>
      <w:caps/>
      <w:sz w:val="28"/>
      <w:lang w:val="en-GB" w:eastAsia="en-US"/>
    </w:rPr>
  </w:style>
  <w:style w:type="paragraph" w:customStyle="1" w:styleId="ListABC1">
    <w:name w:val="List_ABC 1"/>
    <w:basedOn w:val="Normal"/>
    <w:semiHidden/>
    <w:pPr>
      <w:numPr>
        <w:numId w:val="15"/>
      </w:numPr>
      <w:spacing w:after="240" w:line="360" w:lineRule="auto"/>
      <w:jc w:val="both"/>
    </w:pPr>
    <w:rPr>
      <w:rFonts w:ascii="Tahoma" w:hAnsi="Tahoma"/>
      <w:szCs w:val="20"/>
      <w:lang w:val="en-GB" w:eastAsia="en-US"/>
    </w:rPr>
  </w:style>
  <w:style w:type="paragraph" w:styleId="TOC1">
    <w:name w:val="toc 1"/>
    <w:basedOn w:val="Normal"/>
    <w:next w:val="Normal"/>
    <w:autoRedefine/>
    <w:uiPriority w:val="39"/>
    <w:pPr>
      <w:tabs>
        <w:tab w:val="left" w:pos="1418"/>
        <w:tab w:val="right" w:leader="dot" w:pos="9299"/>
      </w:tabs>
      <w:spacing w:before="480" w:after="240" w:line="360" w:lineRule="auto"/>
      <w:ind w:left="1418" w:right="567" w:hanging="1418"/>
    </w:pPr>
    <w:rPr>
      <w:rFonts w:ascii="Tahoma" w:hAnsi="Tahoma"/>
      <w:b/>
      <w:szCs w:val="22"/>
      <w:lang w:val="en-GB" w:eastAsia="en-US"/>
    </w:rPr>
  </w:style>
  <w:style w:type="paragraph" w:customStyle="1" w:styleId="ListABC2">
    <w:name w:val="List_ABC 2"/>
    <w:basedOn w:val="Normal"/>
    <w:semiHidden/>
    <w:pPr>
      <w:numPr>
        <w:numId w:val="16"/>
      </w:numPr>
      <w:spacing w:after="240" w:line="360" w:lineRule="auto"/>
      <w:jc w:val="both"/>
    </w:pPr>
    <w:rPr>
      <w:rFonts w:ascii="Tahoma" w:hAnsi="Tahoma"/>
      <w:szCs w:val="20"/>
      <w:lang w:val="en-GB" w:eastAsia="en-US"/>
    </w:rPr>
  </w:style>
  <w:style w:type="paragraph" w:customStyle="1" w:styleId="ListNumberBrackets2">
    <w:name w:val="List_Number_Brackets 2"/>
    <w:basedOn w:val="Normal"/>
    <w:semiHidden/>
    <w:pPr>
      <w:numPr>
        <w:numId w:val="17"/>
      </w:numPr>
      <w:spacing w:after="240" w:line="360" w:lineRule="auto"/>
      <w:jc w:val="both"/>
    </w:pPr>
    <w:rPr>
      <w:rFonts w:ascii="Tahoma" w:hAnsi="Tahoma"/>
      <w:szCs w:val="20"/>
      <w:lang w:val="en-GB" w:eastAsia="en-US"/>
    </w:rPr>
  </w:style>
  <w:style w:type="paragraph" w:customStyle="1" w:styleId="ListNumberBrackets3">
    <w:name w:val="List_Number_Brackets 3"/>
    <w:basedOn w:val="Normal"/>
    <w:semiHidden/>
    <w:pPr>
      <w:numPr>
        <w:numId w:val="18"/>
      </w:numPr>
      <w:spacing w:after="240" w:line="360" w:lineRule="auto"/>
      <w:jc w:val="both"/>
    </w:pPr>
    <w:rPr>
      <w:rFonts w:ascii="Tahoma" w:hAnsi="Tahoma"/>
      <w:szCs w:val="20"/>
      <w:lang w:val="en-GB" w:eastAsia="en-US"/>
    </w:rPr>
  </w:style>
  <w:style w:type="paragraph" w:customStyle="1" w:styleId="ListNumberBrackets4">
    <w:name w:val="List_Number_Brackets 4"/>
    <w:basedOn w:val="Normal"/>
    <w:semiHidden/>
    <w:pPr>
      <w:numPr>
        <w:numId w:val="19"/>
      </w:numPr>
      <w:spacing w:after="240" w:line="360" w:lineRule="auto"/>
      <w:jc w:val="both"/>
    </w:pPr>
    <w:rPr>
      <w:rFonts w:ascii="Tahoma" w:hAnsi="Tahoma"/>
      <w:szCs w:val="20"/>
      <w:lang w:val="en-GB" w:eastAsia="en-US"/>
    </w:rPr>
  </w:style>
  <w:style w:type="paragraph" w:customStyle="1" w:styleId="ListNumberBrackets5">
    <w:name w:val="List_Number_Brackets 5"/>
    <w:basedOn w:val="Normal"/>
    <w:semiHidden/>
    <w:pPr>
      <w:numPr>
        <w:numId w:val="20"/>
      </w:numPr>
      <w:spacing w:after="240" w:line="360" w:lineRule="auto"/>
      <w:jc w:val="both"/>
    </w:pPr>
    <w:rPr>
      <w:rFonts w:ascii="Tahoma" w:hAnsi="Tahoma"/>
      <w:szCs w:val="20"/>
      <w:lang w:val="en-GB" w:eastAsia="en-US"/>
    </w:rPr>
  </w:style>
  <w:style w:type="paragraph" w:customStyle="1" w:styleId="CaptionBotTblFig">
    <w:name w:val="CaptionBot_Tbl_Fig"/>
    <w:basedOn w:val="Normal"/>
    <w:next w:val="Normal"/>
    <w:autoRedefine/>
    <w:pPr>
      <w:spacing w:before="60" w:after="600" w:line="360" w:lineRule="auto"/>
      <w:ind w:left="1701" w:hanging="1701"/>
    </w:pPr>
    <w:rPr>
      <w:rFonts w:ascii="Tahoma" w:hAnsi="Tahoma"/>
      <w:b/>
      <w:szCs w:val="20"/>
      <w:lang w:val="en-GB" w:eastAsia="en-US"/>
    </w:rPr>
  </w:style>
  <w:style w:type="numbering" w:styleId="111111">
    <w:name w:val="Outline List 2"/>
    <w:basedOn w:val="NoList"/>
    <w:semiHidden/>
    <w:pPr>
      <w:numPr>
        <w:numId w:val="13"/>
      </w:numPr>
    </w:pPr>
  </w:style>
  <w:style w:type="numbering" w:styleId="1ai">
    <w:name w:val="Outline List 1"/>
    <w:basedOn w:val="NoList"/>
    <w:semiHidden/>
    <w:pPr>
      <w:numPr>
        <w:numId w:val="12"/>
      </w:numPr>
    </w:pPr>
  </w:style>
  <w:style w:type="numbering" w:styleId="ArticleSection">
    <w:name w:val="Outline List 3"/>
    <w:basedOn w:val="NoList"/>
    <w:semiHidden/>
    <w:pPr>
      <w:numPr>
        <w:numId w:val="14"/>
      </w:numPr>
    </w:pPr>
  </w:style>
  <w:style w:type="paragraph" w:styleId="BodyText2">
    <w:name w:val="Body Text 2"/>
    <w:basedOn w:val="Normal"/>
    <w:link w:val="BodyText2Char"/>
    <w:semiHidden/>
    <w:pPr>
      <w:spacing w:after="240" w:line="480" w:lineRule="auto"/>
      <w:jc w:val="both"/>
    </w:pPr>
    <w:rPr>
      <w:rFonts w:ascii="Tahoma" w:hAnsi="Tahoma"/>
      <w:szCs w:val="20"/>
      <w:lang w:val="en-GB" w:eastAsia="en-US"/>
    </w:rPr>
  </w:style>
  <w:style w:type="paragraph" w:styleId="BodyText3">
    <w:name w:val="Body Text 3"/>
    <w:basedOn w:val="Normal"/>
    <w:link w:val="BodyText3Char"/>
    <w:semiHidden/>
    <w:pPr>
      <w:spacing w:after="240" w:line="360" w:lineRule="auto"/>
      <w:jc w:val="both"/>
    </w:pPr>
    <w:rPr>
      <w:rFonts w:ascii="Tahoma" w:hAnsi="Tahoma"/>
      <w:sz w:val="16"/>
      <w:szCs w:val="16"/>
      <w:lang w:val="en-GB" w:eastAsia="en-US"/>
    </w:rPr>
  </w:style>
  <w:style w:type="paragraph" w:styleId="BodyTextFirstIndent">
    <w:name w:val="Body Text First Indent"/>
    <w:basedOn w:val="Normal"/>
    <w:link w:val="BodyTextFirstIndentChar"/>
    <w:semiHidden/>
    <w:pPr>
      <w:spacing w:after="240" w:line="360" w:lineRule="auto"/>
      <w:ind w:firstLine="210"/>
      <w:jc w:val="both"/>
    </w:pPr>
    <w:rPr>
      <w:rFonts w:ascii="Tahoma" w:hAnsi="Tahoma"/>
      <w:szCs w:val="20"/>
      <w:lang w:val="en-GB" w:eastAsia="en-US"/>
    </w:rPr>
  </w:style>
  <w:style w:type="paragraph" w:styleId="BodyTextIndent">
    <w:name w:val="Body Text Indent"/>
    <w:basedOn w:val="Normal"/>
    <w:link w:val="BodyTextIndentChar"/>
    <w:semiHidden/>
    <w:pPr>
      <w:spacing w:after="240" w:line="360" w:lineRule="auto"/>
      <w:ind w:left="283"/>
      <w:jc w:val="both"/>
    </w:pPr>
    <w:rPr>
      <w:rFonts w:ascii="Tahoma" w:hAnsi="Tahoma"/>
      <w:szCs w:val="20"/>
      <w:lang w:val="en-GB" w:eastAsia="en-US"/>
    </w:rPr>
  </w:style>
  <w:style w:type="paragraph" w:styleId="BodyTextFirstIndent2">
    <w:name w:val="Body Text First Indent 2"/>
    <w:basedOn w:val="BodyTextIndent"/>
    <w:link w:val="BodyTextFirstIndent2Char"/>
    <w:semiHidden/>
    <w:pPr>
      <w:ind w:firstLine="210"/>
    </w:pPr>
  </w:style>
  <w:style w:type="paragraph" w:styleId="BodyTextIndent2">
    <w:name w:val="Body Text Indent 2"/>
    <w:basedOn w:val="Normal"/>
    <w:link w:val="BodyTextIndent2Char"/>
    <w:semiHidden/>
    <w:pPr>
      <w:spacing w:after="240" w:line="480" w:lineRule="auto"/>
      <w:ind w:left="283"/>
      <w:jc w:val="both"/>
    </w:pPr>
    <w:rPr>
      <w:rFonts w:ascii="Tahoma" w:hAnsi="Tahoma"/>
      <w:szCs w:val="20"/>
      <w:lang w:val="en-GB" w:eastAsia="en-US"/>
    </w:rPr>
  </w:style>
  <w:style w:type="paragraph" w:styleId="BodyTextIndent3">
    <w:name w:val="Body Text Indent 3"/>
    <w:basedOn w:val="Normal"/>
    <w:link w:val="BodyTextIndent3Char"/>
    <w:semiHidden/>
    <w:pPr>
      <w:spacing w:after="240" w:line="360" w:lineRule="auto"/>
      <w:ind w:left="283"/>
      <w:jc w:val="both"/>
    </w:pPr>
    <w:rPr>
      <w:rFonts w:ascii="Tahoma" w:hAnsi="Tahoma"/>
      <w:sz w:val="16"/>
      <w:szCs w:val="16"/>
      <w:lang w:val="en-GB" w:eastAsia="en-US"/>
    </w:rPr>
  </w:style>
  <w:style w:type="paragraph" w:styleId="Closing">
    <w:name w:val="Closing"/>
    <w:basedOn w:val="Normal"/>
    <w:link w:val="ClosingChar"/>
    <w:semiHidden/>
    <w:pPr>
      <w:spacing w:after="240" w:line="360" w:lineRule="auto"/>
      <w:ind w:left="4252"/>
      <w:jc w:val="both"/>
    </w:pPr>
    <w:rPr>
      <w:rFonts w:ascii="Tahoma" w:hAnsi="Tahoma"/>
      <w:szCs w:val="20"/>
      <w:lang w:val="en-GB" w:eastAsia="en-US"/>
    </w:rPr>
  </w:style>
  <w:style w:type="paragraph" w:styleId="Date">
    <w:name w:val="Date"/>
    <w:basedOn w:val="Normal"/>
    <w:next w:val="Normal"/>
    <w:link w:val="DateChar"/>
    <w:semiHidden/>
    <w:pPr>
      <w:spacing w:after="240" w:line="360" w:lineRule="auto"/>
      <w:jc w:val="both"/>
    </w:pPr>
    <w:rPr>
      <w:rFonts w:ascii="Tahoma" w:hAnsi="Tahoma"/>
      <w:szCs w:val="20"/>
      <w:lang w:val="en-GB" w:eastAsia="en-US"/>
    </w:rPr>
  </w:style>
  <w:style w:type="paragraph" w:styleId="EmailSignature">
    <w:name w:val="E-mail Signature"/>
    <w:basedOn w:val="Normal"/>
    <w:semiHidden/>
    <w:pPr>
      <w:spacing w:after="240" w:line="360" w:lineRule="auto"/>
      <w:jc w:val="both"/>
    </w:pPr>
    <w:rPr>
      <w:rFonts w:ascii="Tahoma" w:hAnsi="Tahoma"/>
      <w:szCs w:val="20"/>
      <w:lang w:val="en-GB" w:eastAsia="en-US"/>
    </w:rPr>
  </w:style>
  <w:style w:type="paragraph" w:styleId="EnvelopeAddress">
    <w:name w:val="envelope address"/>
    <w:basedOn w:val="Normal"/>
    <w:semiHidden/>
    <w:pPr>
      <w:framePr w:w="7920" w:h="1980" w:hRule="exact" w:hSpace="180" w:wrap="auto" w:hAnchor="page" w:xAlign="center" w:yAlign="bottom"/>
      <w:spacing w:after="240" w:line="360" w:lineRule="auto"/>
      <w:ind w:left="2880"/>
      <w:jc w:val="both"/>
    </w:pPr>
    <w:rPr>
      <w:rFonts w:ascii="Tahoma" w:hAnsi="Tahoma" w:cs="Arial"/>
      <w:lang w:val="en-GB" w:eastAsia="en-US"/>
    </w:rPr>
  </w:style>
  <w:style w:type="paragraph" w:styleId="EnvelopeReturn">
    <w:name w:val="envelope return"/>
    <w:basedOn w:val="Normal"/>
    <w:semiHidden/>
    <w:pPr>
      <w:spacing w:after="240" w:line="360" w:lineRule="auto"/>
      <w:jc w:val="both"/>
    </w:pPr>
    <w:rPr>
      <w:rFonts w:ascii="Tahoma" w:hAnsi="Tahoma" w:cs="Arial"/>
      <w:szCs w:val="20"/>
      <w:lang w:val="en-GB" w:eastAsia="en-US"/>
    </w:rPr>
  </w:style>
  <w:style w:type="character" w:styleId="FollowedHyperlink">
    <w:name w:val="FollowedHyperlink"/>
    <w:semiHidden/>
    <w:rPr>
      <w:color w:val="800080"/>
      <w:u w:val="single"/>
    </w:rPr>
  </w:style>
  <w:style w:type="paragraph" w:styleId="Header">
    <w:name w:val="header"/>
    <w:basedOn w:val="Normal"/>
    <w:semiHidden/>
    <w:pPr>
      <w:tabs>
        <w:tab w:val="center" w:pos="4320"/>
        <w:tab w:val="right" w:pos="8640"/>
      </w:tabs>
      <w:spacing w:after="240" w:line="360" w:lineRule="auto"/>
      <w:jc w:val="both"/>
    </w:pPr>
    <w:rPr>
      <w:rFonts w:ascii="Tahoma" w:hAnsi="Tahoma"/>
      <w:szCs w:val="20"/>
      <w:lang w:val="en-GB" w:eastAsia="en-US"/>
    </w:rPr>
  </w:style>
  <w:style w:type="character" w:styleId="HTMLAcronym">
    <w:name w:val="HTML Acronym"/>
    <w:semiHidden/>
  </w:style>
  <w:style w:type="paragraph" w:styleId="HTMLAddress">
    <w:name w:val="HTML Address"/>
    <w:basedOn w:val="Normal"/>
    <w:semiHidden/>
    <w:pPr>
      <w:spacing w:after="240" w:line="360" w:lineRule="auto"/>
      <w:jc w:val="both"/>
    </w:pPr>
    <w:rPr>
      <w:rFonts w:ascii="Tahoma" w:hAnsi="Tahoma"/>
      <w:i/>
      <w:iCs/>
      <w:szCs w:val="20"/>
      <w:lang w:val="en-GB" w:eastAsia="en-U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pPr>
      <w:spacing w:after="240" w:line="360" w:lineRule="auto"/>
      <w:jc w:val="both"/>
    </w:pPr>
    <w:rPr>
      <w:rFonts w:ascii="Courier New" w:hAnsi="Courier New" w:cs="Courier New"/>
      <w:szCs w:val="20"/>
      <w:lang w:val="en-GB" w:eastAsia="en-US"/>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LineNumber">
    <w:name w:val="line number"/>
    <w:semiHidden/>
  </w:style>
  <w:style w:type="paragraph" w:styleId="List">
    <w:name w:val="List"/>
    <w:basedOn w:val="Normal"/>
    <w:semiHidden/>
    <w:pPr>
      <w:spacing w:after="240" w:line="360" w:lineRule="auto"/>
      <w:ind w:left="283" w:hanging="283"/>
      <w:jc w:val="both"/>
    </w:pPr>
    <w:rPr>
      <w:rFonts w:ascii="Tahoma" w:hAnsi="Tahoma"/>
      <w:szCs w:val="20"/>
      <w:lang w:val="en-GB" w:eastAsia="en-US"/>
    </w:rPr>
  </w:style>
  <w:style w:type="paragraph" w:styleId="List2">
    <w:name w:val="List 2"/>
    <w:basedOn w:val="Normal"/>
    <w:semiHidden/>
    <w:pPr>
      <w:spacing w:after="240" w:line="360" w:lineRule="auto"/>
      <w:ind w:left="566" w:hanging="283"/>
      <w:jc w:val="both"/>
    </w:pPr>
    <w:rPr>
      <w:rFonts w:ascii="Tahoma" w:hAnsi="Tahoma"/>
      <w:szCs w:val="20"/>
      <w:lang w:val="en-GB" w:eastAsia="en-US"/>
    </w:rPr>
  </w:style>
  <w:style w:type="paragraph" w:styleId="List3">
    <w:name w:val="List 3"/>
    <w:basedOn w:val="Normal"/>
    <w:semiHidden/>
    <w:pPr>
      <w:spacing w:after="240" w:line="360" w:lineRule="auto"/>
      <w:ind w:left="849" w:hanging="283"/>
      <w:jc w:val="both"/>
    </w:pPr>
    <w:rPr>
      <w:rFonts w:ascii="Tahoma" w:hAnsi="Tahoma"/>
      <w:szCs w:val="20"/>
      <w:lang w:val="en-GB" w:eastAsia="en-US"/>
    </w:rPr>
  </w:style>
  <w:style w:type="paragraph" w:styleId="List4">
    <w:name w:val="List 4"/>
    <w:basedOn w:val="Normal"/>
    <w:semiHidden/>
    <w:pPr>
      <w:spacing w:after="240" w:line="360" w:lineRule="auto"/>
      <w:ind w:left="1132" w:hanging="283"/>
      <w:jc w:val="both"/>
    </w:pPr>
    <w:rPr>
      <w:rFonts w:ascii="Tahoma" w:hAnsi="Tahoma"/>
      <w:szCs w:val="20"/>
      <w:lang w:val="en-GB" w:eastAsia="en-US"/>
    </w:rPr>
  </w:style>
  <w:style w:type="paragraph" w:styleId="List5">
    <w:name w:val="List 5"/>
    <w:basedOn w:val="Normal"/>
    <w:semiHidden/>
    <w:pPr>
      <w:spacing w:after="240" w:line="360" w:lineRule="auto"/>
      <w:ind w:left="1415" w:hanging="283"/>
      <w:jc w:val="both"/>
    </w:pPr>
    <w:rPr>
      <w:rFonts w:ascii="Tahoma" w:hAnsi="Tahoma"/>
      <w:szCs w:val="20"/>
      <w:lang w:val="en-GB" w:eastAsia="en-US"/>
    </w:rPr>
  </w:style>
  <w:style w:type="paragraph" w:styleId="ListBullet2">
    <w:name w:val="List Bullet 2"/>
    <w:basedOn w:val="Normal"/>
    <w:semiHidden/>
    <w:pPr>
      <w:numPr>
        <w:numId w:val="4"/>
      </w:numPr>
      <w:spacing w:after="240" w:line="360" w:lineRule="auto"/>
      <w:contextualSpacing/>
      <w:jc w:val="both"/>
    </w:pPr>
    <w:rPr>
      <w:rFonts w:ascii="Tahoma" w:hAnsi="Tahoma"/>
      <w:szCs w:val="20"/>
      <w:lang w:val="en-GB" w:eastAsia="en-US"/>
    </w:rPr>
  </w:style>
  <w:style w:type="paragraph" w:styleId="ListBullet3">
    <w:name w:val="List Bullet 3"/>
    <w:basedOn w:val="Normal"/>
    <w:semiHidden/>
    <w:pPr>
      <w:numPr>
        <w:numId w:val="5"/>
      </w:numPr>
      <w:spacing w:after="240" w:line="360" w:lineRule="auto"/>
      <w:contextualSpacing/>
      <w:jc w:val="both"/>
    </w:pPr>
    <w:rPr>
      <w:rFonts w:ascii="Tahoma" w:hAnsi="Tahoma"/>
      <w:szCs w:val="20"/>
      <w:lang w:val="en-GB" w:eastAsia="en-US"/>
    </w:rPr>
  </w:style>
  <w:style w:type="paragraph" w:styleId="ListBullet4">
    <w:name w:val="List Bullet 4"/>
    <w:basedOn w:val="Normal"/>
    <w:semiHidden/>
    <w:pPr>
      <w:numPr>
        <w:numId w:val="6"/>
      </w:numPr>
      <w:spacing w:after="240" w:line="360" w:lineRule="auto"/>
      <w:contextualSpacing/>
      <w:jc w:val="both"/>
    </w:pPr>
    <w:rPr>
      <w:rFonts w:ascii="Tahoma" w:hAnsi="Tahoma"/>
      <w:szCs w:val="20"/>
      <w:lang w:val="en-GB" w:eastAsia="en-US"/>
    </w:rPr>
  </w:style>
  <w:style w:type="paragraph" w:styleId="ListBullet5">
    <w:name w:val="List Bullet 5"/>
    <w:basedOn w:val="Normal"/>
    <w:semiHidden/>
    <w:pPr>
      <w:numPr>
        <w:numId w:val="7"/>
      </w:numPr>
      <w:spacing w:after="240" w:line="360" w:lineRule="auto"/>
      <w:contextualSpacing/>
      <w:jc w:val="both"/>
    </w:pPr>
    <w:rPr>
      <w:rFonts w:ascii="Tahoma" w:hAnsi="Tahoma"/>
      <w:szCs w:val="20"/>
      <w:lang w:val="en-GB" w:eastAsia="en-US"/>
    </w:rPr>
  </w:style>
  <w:style w:type="paragraph" w:styleId="ListContinue">
    <w:name w:val="List Continue"/>
    <w:basedOn w:val="Normal"/>
    <w:semiHidden/>
    <w:pPr>
      <w:spacing w:after="240" w:line="360" w:lineRule="auto"/>
      <w:ind w:left="567"/>
      <w:jc w:val="both"/>
    </w:pPr>
    <w:rPr>
      <w:rFonts w:ascii="Tahoma" w:hAnsi="Tahoma"/>
      <w:szCs w:val="20"/>
      <w:lang w:val="en-GB" w:eastAsia="en-US"/>
    </w:rPr>
  </w:style>
  <w:style w:type="paragraph" w:styleId="ListContinue2">
    <w:name w:val="List Continue 2"/>
    <w:basedOn w:val="Normal"/>
    <w:semiHidden/>
    <w:pPr>
      <w:spacing w:after="240" w:line="360" w:lineRule="auto"/>
      <w:ind w:left="1134"/>
      <w:jc w:val="both"/>
    </w:pPr>
    <w:rPr>
      <w:rFonts w:ascii="Tahoma" w:hAnsi="Tahoma"/>
      <w:szCs w:val="20"/>
      <w:lang w:val="en-GB" w:eastAsia="en-US"/>
    </w:rPr>
  </w:style>
  <w:style w:type="paragraph" w:styleId="ListContinue3">
    <w:name w:val="List Continue 3"/>
    <w:basedOn w:val="Normal"/>
    <w:semiHidden/>
    <w:pPr>
      <w:spacing w:after="240" w:line="360" w:lineRule="auto"/>
      <w:ind w:left="1701"/>
      <w:jc w:val="both"/>
    </w:pPr>
    <w:rPr>
      <w:rFonts w:ascii="Tahoma" w:hAnsi="Tahoma"/>
      <w:szCs w:val="20"/>
      <w:lang w:val="en-GB" w:eastAsia="en-US"/>
    </w:rPr>
  </w:style>
  <w:style w:type="paragraph" w:styleId="ListContinue4">
    <w:name w:val="List Continue 4"/>
    <w:basedOn w:val="Normal"/>
    <w:semiHidden/>
    <w:pPr>
      <w:spacing w:after="240" w:line="360" w:lineRule="auto"/>
      <w:ind w:left="2268"/>
      <w:jc w:val="both"/>
    </w:pPr>
    <w:rPr>
      <w:rFonts w:ascii="Tahoma" w:hAnsi="Tahoma"/>
      <w:szCs w:val="20"/>
      <w:lang w:val="en-GB" w:eastAsia="en-US"/>
    </w:rPr>
  </w:style>
  <w:style w:type="paragraph" w:styleId="ListContinue5">
    <w:name w:val="List Continue 5"/>
    <w:basedOn w:val="Normal"/>
    <w:semiHidden/>
    <w:pPr>
      <w:spacing w:after="240" w:line="360" w:lineRule="auto"/>
      <w:ind w:left="2835"/>
      <w:jc w:val="both"/>
    </w:pPr>
    <w:rPr>
      <w:rFonts w:ascii="Tahoma" w:hAnsi="Tahoma"/>
      <w:szCs w:val="20"/>
      <w:lang w:val="en-GB" w:eastAsia="en-US"/>
    </w:rPr>
  </w:style>
  <w:style w:type="paragraph" w:styleId="ListNumber">
    <w:name w:val="List Number"/>
    <w:basedOn w:val="Normal"/>
    <w:semiHidden/>
    <w:pPr>
      <w:numPr>
        <w:numId w:val="3"/>
      </w:numPr>
      <w:tabs>
        <w:tab w:val="left" w:pos="567"/>
      </w:tabs>
      <w:spacing w:after="240"/>
      <w:jc w:val="both"/>
    </w:pPr>
    <w:rPr>
      <w:rFonts w:ascii="Tahoma" w:hAnsi="Tahoma"/>
      <w:szCs w:val="20"/>
      <w:lang w:val="en-GB" w:eastAsia="en-US"/>
    </w:rPr>
  </w:style>
  <w:style w:type="paragraph" w:styleId="ListNumber2">
    <w:name w:val="List Number 2"/>
    <w:basedOn w:val="Normal"/>
    <w:semiHidden/>
    <w:pPr>
      <w:numPr>
        <w:numId w:val="8"/>
      </w:numPr>
      <w:spacing w:after="240" w:line="360" w:lineRule="auto"/>
      <w:contextualSpacing/>
      <w:jc w:val="both"/>
    </w:pPr>
    <w:rPr>
      <w:rFonts w:ascii="Tahoma" w:hAnsi="Tahoma"/>
      <w:szCs w:val="20"/>
      <w:lang w:val="en-GB" w:eastAsia="en-US"/>
    </w:rPr>
  </w:style>
  <w:style w:type="paragraph" w:styleId="ListNumber3">
    <w:name w:val="List Number 3"/>
    <w:basedOn w:val="Normal"/>
    <w:semiHidden/>
    <w:pPr>
      <w:numPr>
        <w:numId w:val="9"/>
      </w:numPr>
      <w:spacing w:after="240" w:line="360" w:lineRule="auto"/>
      <w:jc w:val="both"/>
    </w:pPr>
    <w:rPr>
      <w:rFonts w:ascii="Tahoma" w:hAnsi="Tahoma"/>
      <w:szCs w:val="20"/>
      <w:lang w:val="en-GB" w:eastAsia="en-US"/>
    </w:rPr>
  </w:style>
  <w:style w:type="paragraph" w:styleId="ListNumber4">
    <w:name w:val="List Number 4"/>
    <w:basedOn w:val="Normal"/>
    <w:semiHidden/>
    <w:pPr>
      <w:numPr>
        <w:numId w:val="10"/>
      </w:numPr>
      <w:spacing w:after="240" w:line="360" w:lineRule="auto"/>
      <w:jc w:val="both"/>
    </w:pPr>
    <w:rPr>
      <w:rFonts w:ascii="Tahoma" w:hAnsi="Tahoma"/>
      <w:szCs w:val="20"/>
      <w:lang w:val="en-GB" w:eastAsia="en-US"/>
    </w:rPr>
  </w:style>
  <w:style w:type="paragraph" w:styleId="ListNumber5">
    <w:name w:val="List Number 5"/>
    <w:basedOn w:val="Normal"/>
    <w:semiHidden/>
    <w:pPr>
      <w:numPr>
        <w:numId w:val="11"/>
      </w:numPr>
      <w:spacing w:after="240" w:line="360" w:lineRule="auto"/>
      <w:jc w:val="both"/>
    </w:pPr>
    <w:rPr>
      <w:rFonts w:ascii="Tahoma" w:hAnsi="Tahoma"/>
      <w:szCs w:val="20"/>
      <w:lang w:val="en-GB" w:eastAsia="en-US"/>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spacing w:after="240" w:line="360" w:lineRule="auto"/>
      <w:ind w:left="1134" w:hanging="1134"/>
      <w:jc w:val="both"/>
    </w:pPr>
    <w:rPr>
      <w:rFonts w:ascii="Tahoma" w:hAnsi="Tahoma" w:cs="Arial"/>
      <w:lang w:val="en-GB" w:eastAsia="en-US"/>
    </w:rPr>
  </w:style>
  <w:style w:type="paragraph" w:styleId="NormalWeb">
    <w:name w:val="Normal (Web)"/>
    <w:basedOn w:val="Normal"/>
    <w:uiPriority w:val="99"/>
    <w:semiHidden/>
    <w:pPr>
      <w:spacing w:after="240" w:line="360" w:lineRule="auto"/>
      <w:jc w:val="both"/>
    </w:pPr>
    <w:rPr>
      <w:lang w:val="en-GB" w:eastAsia="en-US"/>
    </w:rPr>
  </w:style>
  <w:style w:type="paragraph" w:styleId="TOC2">
    <w:name w:val="toc 2"/>
    <w:basedOn w:val="Normal"/>
    <w:next w:val="Normal"/>
    <w:autoRedefine/>
    <w:uiPriority w:val="39"/>
    <w:pPr>
      <w:tabs>
        <w:tab w:val="left" w:pos="1418"/>
        <w:tab w:val="right" w:leader="dot" w:pos="9299"/>
      </w:tabs>
      <w:spacing w:before="120" w:after="240" w:line="360" w:lineRule="auto"/>
      <w:ind w:left="1418" w:right="567" w:hanging="1418"/>
    </w:pPr>
    <w:rPr>
      <w:rFonts w:ascii="Tahoma" w:hAnsi="Tahoma"/>
      <w:b/>
      <w:i/>
      <w:szCs w:val="20"/>
      <w:lang w:val="en-GB" w:eastAsia="en-US"/>
    </w:rPr>
  </w:style>
  <w:style w:type="paragraph" w:styleId="NoteHeading">
    <w:name w:val="Note Heading"/>
    <w:basedOn w:val="Normal"/>
    <w:next w:val="Normal"/>
    <w:link w:val="NoteHeadingChar"/>
    <w:semiHidden/>
    <w:pPr>
      <w:spacing w:after="240" w:line="360" w:lineRule="auto"/>
      <w:jc w:val="both"/>
    </w:pPr>
    <w:rPr>
      <w:rFonts w:ascii="Tahoma" w:hAnsi="Tahoma"/>
      <w:szCs w:val="20"/>
      <w:lang w:val="en-GB" w:eastAsia="en-US"/>
    </w:rPr>
  </w:style>
  <w:style w:type="paragraph" w:styleId="PlainText">
    <w:name w:val="Plain Text"/>
    <w:basedOn w:val="Normal"/>
    <w:link w:val="PlainTextChar"/>
    <w:semiHidden/>
    <w:pPr>
      <w:spacing w:after="240" w:line="360" w:lineRule="auto"/>
      <w:jc w:val="both"/>
    </w:pPr>
    <w:rPr>
      <w:rFonts w:ascii="Courier New" w:hAnsi="Courier New" w:cs="Courier New"/>
      <w:szCs w:val="20"/>
      <w:lang w:val="en-GB" w:eastAsia="en-US"/>
    </w:rPr>
  </w:style>
  <w:style w:type="paragraph" w:styleId="Salutation">
    <w:name w:val="Salutation"/>
    <w:basedOn w:val="Normal"/>
    <w:next w:val="Normal"/>
    <w:link w:val="SalutationChar"/>
    <w:semiHidden/>
    <w:pPr>
      <w:spacing w:after="240" w:line="360" w:lineRule="auto"/>
      <w:jc w:val="both"/>
    </w:pPr>
    <w:rPr>
      <w:rFonts w:ascii="Tahoma" w:hAnsi="Tahoma"/>
      <w:szCs w:val="20"/>
      <w:lang w:val="en-GB" w:eastAsia="en-US"/>
    </w:rPr>
  </w:style>
  <w:style w:type="paragraph" w:styleId="Signature">
    <w:name w:val="Signature"/>
    <w:basedOn w:val="Normal"/>
    <w:link w:val="SignatureChar"/>
    <w:semiHidden/>
    <w:pPr>
      <w:spacing w:after="240" w:line="360" w:lineRule="auto"/>
      <w:ind w:left="4252"/>
      <w:jc w:val="both"/>
    </w:pPr>
    <w:rPr>
      <w:rFonts w:ascii="Tahoma" w:hAnsi="Tahoma"/>
      <w:szCs w:val="20"/>
      <w:lang w:val="en-GB" w:eastAsia="en-US"/>
    </w:rPr>
  </w:style>
  <w:style w:type="table" w:styleId="Table3Deffects1">
    <w:name w:val="Table 3D effects 1"/>
    <w:basedOn w:val="TableNormal"/>
    <w:semiHidden/>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pPr>
      <w:spacing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pPr>
      <w:spacing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pPr>
      <w:spacing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pPr>
      <w:tabs>
        <w:tab w:val="left" w:pos="1418"/>
        <w:tab w:val="right" w:leader="dot" w:pos="9299"/>
      </w:tabs>
      <w:spacing w:after="240" w:line="360" w:lineRule="auto"/>
      <w:ind w:left="1418" w:right="567" w:hanging="1418"/>
    </w:pPr>
    <w:rPr>
      <w:rFonts w:ascii="Tahoma" w:hAnsi="Tahoma"/>
      <w:i/>
      <w:szCs w:val="20"/>
      <w:lang w:val="en-GB" w:eastAsia="en-US"/>
    </w:rPr>
  </w:style>
  <w:style w:type="paragraph" w:styleId="TOC4">
    <w:name w:val="toc 4"/>
    <w:basedOn w:val="Normal"/>
    <w:next w:val="Normal"/>
    <w:autoRedefine/>
    <w:uiPriority w:val="39"/>
    <w:pPr>
      <w:tabs>
        <w:tab w:val="left" w:pos="1418"/>
        <w:tab w:val="right" w:leader="dot" w:pos="9299"/>
      </w:tabs>
      <w:spacing w:after="240" w:line="360" w:lineRule="auto"/>
      <w:ind w:left="1418" w:right="567" w:hanging="1418"/>
    </w:pPr>
    <w:rPr>
      <w:rFonts w:ascii="Tahoma" w:hAnsi="Tahoma"/>
      <w:szCs w:val="20"/>
      <w:lang w:val="en-GB" w:eastAsia="en-US"/>
    </w:rPr>
  </w:style>
  <w:style w:type="paragraph" w:styleId="TOC5">
    <w:name w:val="toc 5"/>
    <w:basedOn w:val="Normal"/>
    <w:next w:val="Normal"/>
    <w:autoRedefine/>
    <w:uiPriority w:val="39"/>
    <w:pPr>
      <w:tabs>
        <w:tab w:val="left" w:pos="1418"/>
        <w:tab w:val="right" w:leader="dot" w:pos="9299"/>
      </w:tabs>
      <w:spacing w:after="240" w:line="360" w:lineRule="auto"/>
      <w:ind w:left="1418" w:right="567" w:hanging="1418"/>
    </w:pPr>
    <w:rPr>
      <w:rFonts w:ascii="Tahoma" w:hAnsi="Tahoma"/>
      <w:szCs w:val="20"/>
      <w:lang w:val="en-GB" w:eastAsia="en-US"/>
    </w:rPr>
  </w:style>
  <w:style w:type="paragraph" w:styleId="TOC6">
    <w:name w:val="toc 6"/>
    <w:basedOn w:val="Normal"/>
    <w:next w:val="Normal"/>
    <w:autoRedefine/>
    <w:semiHidden/>
    <w:pPr>
      <w:tabs>
        <w:tab w:val="right" w:leader="dot" w:pos="9299"/>
      </w:tabs>
      <w:spacing w:after="240" w:line="360" w:lineRule="auto"/>
      <w:ind w:left="1202" w:right="567" w:hanging="1202"/>
      <w:jc w:val="both"/>
    </w:pPr>
    <w:rPr>
      <w:rFonts w:ascii="Tahoma" w:hAnsi="Tahoma"/>
      <w:szCs w:val="20"/>
      <w:lang w:val="en-GB" w:eastAsia="en-US"/>
    </w:rPr>
  </w:style>
  <w:style w:type="paragraph" w:styleId="TOC7">
    <w:name w:val="toc 7"/>
    <w:basedOn w:val="Normal"/>
    <w:next w:val="Normal"/>
    <w:autoRedefine/>
    <w:semiHidden/>
    <w:pPr>
      <w:tabs>
        <w:tab w:val="right" w:leader="dot" w:pos="9299"/>
      </w:tabs>
      <w:spacing w:after="240" w:line="360" w:lineRule="auto"/>
      <w:ind w:left="1202" w:right="567" w:hanging="1202"/>
      <w:jc w:val="both"/>
    </w:pPr>
    <w:rPr>
      <w:rFonts w:ascii="Tahoma" w:hAnsi="Tahoma"/>
      <w:szCs w:val="20"/>
      <w:lang w:val="en-GB" w:eastAsia="en-US"/>
    </w:rPr>
  </w:style>
  <w:style w:type="paragraph" w:styleId="TOC8">
    <w:name w:val="toc 8"/>
    <w:basedOn w:val="Normal"/>
    <w:next w:val="Normal"/>
    <w:autoRedefine/>
    <w:uiPriority w:val="39"/>
    <w:pPr>
      <w:tabs>
        <w:tab w:val="right" w:leader="dot" w:pos="9299"/>
      </w:tabs>
      <w:spacing w:after="120" w:line="360" w:lineRule="auto"/>
      <w:ind w:right="567"/>
    </w:pPr>
    <w:rPr>
      <w:rFonts w:ascii="Tahoma" w:hAnsi="Tahoma"/>
      <w:b/>
      <w:caps/>
      <w:szCs w:val="20"/>
      <w:lang w:val="en-GB" w:eastAsia="en-US"/>
    </w:rPr>
  </w:style>
  <w:style w:type="paragraph" w:styleId="TOC9">
    <w:name w:val="toc 9"/>
    <w:basedOn w:val="Normal"/>
    <w:next w:val="Normal"/>
    <w:autoRedefine/>
    <w:uiPriority w:val="39"/>
    <w:pPr>
      <w:tabs>
        <w:tab w:val="right" w:leader="dot" w:pos="9299"/>
      </w:tabs>
      <w:spacing w:before="480" w:after="120" w:line="360" w:lineRule="auto"/>
      <w:ind w:right="567"/>
    </w:pPr>
    <w:rPr>
      <w:rFonts w:ascii="Tahoma" w:hAnsi="Tahoma"/>
      <w:b/>
      <w:szCs w:val="20"/>
      <w:lang w:val="en-GB" w:eastAsia="en-US"/>
    </w:rPr>
  </w:style>
  <w:style w:type="paragraph" w:customStyle="1" w:styleId="CaptionTopTblFig">
    <w:name w:val="CaptionTop_Tbl_Fig"/>
    <w:basedOn w:val="Normal"/>
    <w:next w:val="Normal"/>
    <w:autoRedefine/>
    <w:pPr>
      <w:keepNext/>
      <w:spacing w:before="240" w:after="240" w:line="360" w:lineRule="auto"/>
      <w:ind w:left="1701" w:hanging="1701"/>
    </w:pPr>
    <w:rPr>
      <w:rFonts w:ascii="Tahoma" w:hAnsi="Tahoma"/>
      <w:b/>
      <w:szCs w:val="20"/>
      <w:lang w:val="en-GB" w:eastAsia="en-US"/>
    </w:rPr>
  </w:style>
  <w:style w:type="paragraph" w:styleId="TableofFigures">
    <w:name w:val="table of figures"/>
    <w:basedOn w:val="Normal"/>
    <w:next w:val="Normal"/>
    <w:autoRedefine/>
    <w:uiPriority w:val="99"/>
    <w:pPr>
      <w:tabs>
        <w:tab w:val="left" w:pos="1701"/>
        <w:tab w:val="right" w:leader="dot" w:pos="9299"/>
      </w:tabs>
      <w:spacing w:before="180" w:after="240" w:line="360" w:lineRule="auto"/>
      <w:ind w:left="1701" w:right="567" w:hanging="1701"/>
    </w:pPr>
    <w:rPr>
      <w:rFonts w:ascii="Tahoma" w:hAnsi="Tahoma"/>
      <w:noProof/>
      <w:szCs w:val="28"/>
      <w:lang w:val="en-GB" w:eastAsia="en-US"/>
    </w:rPr>
  </w:style>
  <w:style w:type="character" w:styleId="CommentReference">
    <w:name w:val="annotation reference"/>
    <w:uiPriority w:val="99"/>
    <w:semiHidden/>
    <w:rPr>
      <w:sz w:val="16"/>
      <w:szCs w:val="16"/>
    </w:rPr>
  </w:style>
  <w:style w:type="paragraph" w:styleId="Quote">
    <w:name w:val="Quote"/>
    <w:basedOn w:val="Normal"/>
    <w:next w:val="Normal"/>
    <w:link w:val="QuoteChar"/>
    <w:autoRedefine/>
    <w:uiPriority w:val="29"/>
    <w:qFormat/>
    <w:pPr>
      <w:spacing w:after="240"/>
      <w:ind w:left="425" w:right="425"/>
      <w:jc w:val="both"/>
    </w:pPr>
    <w:rPr>
      <w:rFonts w:ascii="Tahoma" w:hAnsi="Tahoma"/>
      <w:iCs/>
      <w:color w:val="000000"/>
      <w:sz w:val="22"/>
      <w:szCs w:val="20"/>
      <w:lang w:val="en-GB" w:eastAsia="en-ZA"/>
    </w:rPr>
  </w:style>
  <w:style w:type="character" w:customStyle="1" w:styleId="QuoteChar">
    <w:name w:val="Quote Char"/>
    <w:link w:val="Quote"/>
    <w:uiPriority w:val="29"/>
    <w:rPr>
      <w:rFonts w:ascii="Arial" w:hAnsi="Arial"/>
      <w:iCs/>
      <w:color w:val="000000"/>
      <w:sz w:val="22"/>
      <w:lang w:val="en-GB"/>
    </w:rPr>
  </w:style>
  <w:style w:type="paragraph" w:customStyle="1" w:styleId="ListNumberRoman">
    <w:name w:val="List Number Roman"/>
    <w:basedOn w:val="Normal"/>
    <w:semiHidden/>
    <w:qFormat/>
    <w:pPr>
      <w:numPr>
        <w:numId w:val="21"/>
      </w:numPr>
      <w:spacing w:after="240"/>
      <w:jc w:val="both"/>
    </w:pPr>
    <w:rPr>
      <w:rFonts w:ascii="Tahoma" w:hAnsi="Tahoma"/>
      <w:szCs w:val="20"/>
      <w:lang w:val="en-GB" w:eastAsia="en-US"/>
    </w:rPr>
  </w:style>
  <w:style w:type="paragraph" w:customStyle="1" w:styleId="ListNumberAlfabet">
    <w:name w:val="List Number Alfabet"/>
    <w:basedOn w:val="Normal"/>
    <w:semiHidden/>
    <w:qFormat/>
    <w:pPr>
      <w:numPr>
        <w:numId w:val="22"/>
      </w:numPr>
      <w:spacing w:after="240"/>
      <w:jc w:val="both"/>
    </w:pPr>
    <w:rPr>
      <w:rFonts w:ascii="Tahoma" w:hAnsi="Tahoma"/>
      <w:szCs w:val="20"/>
      <w:lang w:val="en-GB" w:eastAsia="en-US"/>
    </w:rPr>
  </w:style>
  <w:style w:type="paragraph" w:customStyle="1" w:styleId="ListNumberRomanBrackets">
    <w:name w:val="List_Number_Roman_Brackets"/>
    <w:basedOn w:val="Normal"/>
    <w:qFormat/>
    <w:pPr>
      <w:numPr>
        <w:numId w:val="23"/>
      </w:numPr>
      <w:spacing w:after="240" w:line="360" w:lineRule="auto"/>
      <w:ind w:left="1134"/>
      <w:jc w:val="both"/>
    </w:pPr>
    <w:rPr>
      <w:rFonts w:ascii="Tahoma" w:hAnsi="Tahoma"/>
      <w:szCs w:val="20"/>
      <w:lang w:val="en-GB" w:eastAsia="en-US"/>
    </w:rPr>
  </w:style>
  <w:style w:type="paragraph" w:customStyle="1" w:styleId="ListNumberAlfabetBrackets">
    <w:name w:val="List_Number_Alfabet_Brackets"/>
    <w:basedOn w:val="Normal"/>
    <w:qFormat/>
    <w:pPr>
      <w:numPr>
        <w:numId w:val="25"/>
      </w:numPr>
      <w:spacing w:after="240" w:line="360" w:lineRule="auto"/>
      <w:jc w:val="both"/>
    </w:pPr>
    <w:rPr>
      <w:rFonts w:ascii="Tahoma" w:hAnsi="Tahoma"/>
      <w:szCs w:val="20"/>
      <w:lang w:val="en-GB" w:eastAsia="en-US"/>
    </w:rPr>
  </w:style>
  <w:style w:type="paragraph" w:styleId="ListParagraph">
    <w:name w:val="List Paragraph"/>
    <w:basedOn w:val="Normal"/>
    <w:uiPriority w:val="34"/>
    <w:semiHidden/>
    <w:qFormat/>
    <w:pPr>
      <w:spacing w:after="240" w:line="360" w:lineRule="auto"/>
      <w:ind w:left="720"/>
      <w:jc w:val="both"/>
    </w:pPr>
    <w:rPr>
      <w:rFonts w:ascii="Tahoma" w:hAnsi="Tahoma"/>
      <w:szCs w:val="20"/>
      <w:lang w:val="en-GB" w:eastAsia="en-US"/>
    </w:rPr>
  </w:style>
  <w:style w:type="paragraph" w:styleId="Caption">
    <w:name w:val="caption"/>
    <w:basedOn w:val="Normal"/>
    <w:next w:val="Normal"/>
    <w:uiPriority w:val="35"/>
    <w:semiHidden/>
    <w:qFormat/>
    <w:pPr>
      <w:spacing w:after="200"/>
      <w:jc w:val="both"/>
    </w:pPr>
    <w:rPr>
      <w:rFonts w:ascii="Tahoma" w:hAnsi="Tahoma"/>
      <w:b/>
      <w:bCs/>
      <w:color w:val="4F81BD"/>
      <w:sz w:val="18"/>
      <w:szCs w:val="18"/>
      <w:lang w:val="en-GB" w:eastAsia="en-US"/>
    </w:rPr>
  </w:style>
  <w:style w:type="paragraph" w:customStyle="1" w:styleId="Abbreviation">
    <w:name w:val="Abbreviation"/>
    <w:basedOn w:val="Normal"/>
    <w:qFormat/>
    <w:pPr>
      <w:tabs>
        <w:tab w:val="left" w:pos="2835"/>
      </w:tabs>
      <w:spacing w:after="240"/>
      <w:ind w:left="2835" w:hanging="2835"/>
      <w:jc w:val="both"/>
    </w:pPr>
    <w:rPr>
      <w:rFonts w:ascii="Tahoma" w:hAnsi="Tahoma"/>
      <w:szCs w:val="20"/>
      <w:lang w:val="en-GB" w:eastAsia="en-US"/>
    </w:rPr>
  </w:style>
  <w:style w:type="paragraph" w:customStyle="1" w:styleId="TableBody">
    <w:name w:val="Table_Body"/>
    <w:basedOn w:val="Normal"/>
    <w:qFormat/>
    <w:pPr>
      <w:spacing w:before="60" w:after="60"/>
    </w:pPr>
    <w:rPr>
      <w:rFonts w:ascii="Tahoma" w:hAnsi="Tahoma"/>
      <w:szCs w:val="20"/>
      <w:lang w:val="en-GB" w:eastAsia="en-US"/>
    </w:rPr>
  </w:style>
  <w:style w:type="paragraph" w:styleId="Bibliography">
    <w:name w:val="Bibliography"/>
    <w:basedOn w:val="Normal"/>
    <w:next w:val="Normal"/>
    <w:uiPriority w:val="37"/>
    <w:pPr>
      <w:spacing w:line="360" w:lineRule="auto"/>
      <w:ind w:left="720" w:hanging="720"/>
      <w:jc w:val="both"/>
    </w:pPr>
    <w:rPr>
      <w:rFonts w:ascii="Tahoma" w:hAnsi="Tahoma"/>
      <w:szCs w:val="20"/>
      <w:lang w:val="en-GB" w:eastAsia="en-US"/>
    </w:rPr>
  </w:style>
  <w:style w:type="paragraph" w:styleId="BalloonText">
    <w:name w:val="Balloon Text"/>
    <w:basedOn w:val="Normal"/>
    <w:link w:val="BalloonTextChar"/>
    <w:uiPriority w:val="99"/>
    <w:semiHidden/>
    <w:locked/>
    <w:pPr>
      <w:jc w:val="both"/>
    </w:pPr>
    <w:rPr>
      <w:rFonts w:ascii="Tahoma" w:hAnsi="Tahoma" w:cs="Tahoma"/>
      <w:sz w:val="16"/>
      <w:szCs w:val="16"/>
      <w:lang w:val="en-GB" w:eastAsia="en-US"/>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pPr>
      <w:spacing w:after="240" w:line="360" w:lineRule="auto"/>
      <w:jc w:val="both"/>
    </w:pPr>
    <w:rPr>
      <w:rFonts w:ascii="Tahoma" w:hAnsi="Tahoma"/>
      <w:sz w:val="20"/>
      <w:szCs w:val="20"/>
      <w:lang w:val="en-GB" w:eastAsia="en-US"/>
    </w:rPr>
  </w:style>
  <w:style w:type="character" w:customStyle="1" w:styleId="EndnoteTextChar">
    <w:name w:val="Endnote Text Char"/>
    <w:link w:val="EndnoteText"/>
    <w:uiPriority w:val="99"/>
    <w:semiHidden/>
    <w:rPr>
      <w:rFonts w:ascii="Arial" w:hAnsi="Arial"/>
      <w:lang w:val="en-GB" w:eastAsia="en-US"/>
    </w:rPr>
  </w:style>
  <w:style w:type="character" w:customStyle="1" w:styleId="ClosingChar">
    <w:name w:val="Closing Char"/>
    <w:basedOn w:val="DefaultParagraphFont"/>
    <w:link w:val="Closing"/>
    <w:semiHidden/>
    <w:rPr>
      <w:rFonts w:ascii="Arial" w:hAnsi="Arial"/>
      <w:sz w:val="24"/>
      <w:lang w:val="en-GB" w:eastAsia="en-US"/>
    </w:rPr>
  </w:style>
  <w:style w:type="character" w:customStyle="1" w:styleId="SignatureChar">
    <w:name w:val="Signature Char"/>
    <w:basedOn w:val="DefaultParagraphFont"/>
    <w:link w:val="Signature"/>
    <w:semiHidden/>
    <w:rPr>
      <w:rFonts w:ascii="Arial" w:hAnsi="Arial"/>
      <w:sz w:val="24"/>
      <w:lang w:val="en-GB" w:eastAsia="en-US"/>
    </w:rPr>
  </w:style>
  <w:style w:type="paragraph" w:styleId="BodyText">
    <w:name w:val="Body Text"/>
    <w:basedOn w:val="Normal"/>
    <w:link w:val="BodyTextChar"/>
    <w:semiHidden/>
    <w:pPr>
      <w:spacing w:after="120" w:line="360" w:lineRule="auto"/>
      <w:jc w:val="both"/>
    </w:pPr>
    <w:rPr>
      <w:rFonts w:ascii="Tahoma" w:hAnsi="Tahoma"/>
      <w:szCs w:val="20"/>
      <w:lang w:val="en-GB" w:eastAsia="en-US"/>
    </w:rPr>
  </w:style>
  <w:style w:type="character" w:customStyle="1" w:styleId="BodyTextChar">
    <w:name w:val="Body Text Char"/>
    <w:basedOn w:val="DefaultParagraphFont"/>
    <w:link w:val="BodyText"/>
    <w:semiHidden/>
    <w:rPr>
      <w:rFonts w:ascii="Arial" w:hAnsi="Arial"/>
      <w:sz w:val="24"/>
      <w:lang w:val="en-GB" w:eastAsia="en-US"/>
    </w:rPr>
  </w:style>
  <w:style w:type="character" w:customStyle="1" w:styleId="BodyTextIndentChar">
    <w:name w:val="Body Text Indent Char"/>
    <w:basedOn w:val="DefaultParagraphFont"/>
    <w:link w:val="BodyTextIndent"/>
    <w:semiHidden/>
    <w:rPr>
      <w:rFonts w:ascii="Arial" w:hAnsi="Arial"/>
      <w:sz w:val="24"/>
      <w:lang w:val="en-GB" w:eastAsia="en-US"/>
    </w:rPr>
  </w:style>
  <w:style w:type="character" w:customStyle="1" w:styleId="MessageHeaderChar">
    <w:name w:val="Message Header Char"/>
    <w:basedOn w:val="DefaultParagraphFont"/>
    <w:link w:val="MessageHeader"/>
    <w:semiHidden/>
    <w:rPr>
      <w:rFonts w:ascii="Arial" w:hAnsi="Arial" w:cs="Arial"/>
      <w:sz w:val="24"/>
      <w:szCs w:val="24"/>
      <w:shd w:val="pct20" w:color="auto" w:fill="auto"/>
      <w:lang w:val="en-GB" w:eastAsia="en-US"/>
    </w:rPr>
  </w:style>
  <w:style w:type="character" w:customStyle="1" w:styleId="SalutationChar">
    <w:name w:val="Salutation Char"/>
    <w:basedOn w:val="DefaultParagraphFont"/>
    <w:link w:val="Salutation"/>
    <w:semiHidden/>
    <w:rPr>
      <w:rFonts w:ascii="Arial" w:hAnsi="Arial"/>
      <w:sz w:val="24"/>
      <w:lang w:val="en-GB" w:eastAsia="en-US"/>
    </w:rPr>
  </w:style>
  <w:style w:type="character" w:customStyle="1" w:styleId="DateChar">
    <w:name w:val="Date Char"/>
    <w:basedOn w:val="DefaultParagraphFont"/>
    <w:link w:val="Date"/>
    <w:semiHidden/>
    <w:rPr>
      <w:rFonts w:ascii="Arial" w:hAnsi="Arial"/>
      <w:sz w:val="24"/>
      <w:lang w:val="en-GB" w:eastAsia="en-US"/>
    </w:rPr>
  </w:style>
  <w:style w:type="character" w:customStyle="1" w:styleId="BodyTextFirstIndentChar">
    <w:name w:val="Body Text First Indent Char"/>
    <w:basedOn w:val="BodyTextChar"/>
    <w:link w:val="BodyTextFirstIndent"/>
    <w:semiHidden/>
    <w:rPr>
      <w:rFonts w:ascii="Arial" w:hAnsi="Arial"/>
      <w:sz w:val="24"/>
      <w:lang w:val="en-GB" w:eastAsia="en-US"/>
    </w:rPr>
  </w:style>
  <w:style w:type="character" w:customStyle="1" w:styleId="BodyTextFirstIndent2Char">
    <w:name w:val="Body Text First Indent 2 Char"/>
    <w:basedOn w:val="BodyTextIndentChar"/>
    <w:link w:val="BodyTextFirstIndent2"/>
    <w:semiHidden/>
    <w:rPr>
      <w:rFonts w:ascii="Arial" w:hAnsi="Arial"/>
      <w:sz w:val="24"/>
      <w:lang w:val="en-GB" w:eastAsia="en-US"/>
    </w:rPr>
  </w:style>
  <w:style w:type="character" w:customStyle="1" w:styleId="NoteHeadingChar">
    <w:name w:val="Note Heading Char"/>
    <w:basedOn w:val="DefaultParagraphFont"/>
    <w:link w:val="NoteHeading"/>
    <w:semiHidden/>
    <w:rPr>
      <w:rFonts w:ascii="Arial" w:hAnsi="Arial"/>
      <w:sz w:val="24"/>
      <w:lang w:val="en-GB" w:eastAsia="en-US"/>
    </w:rPr>
  </w:style>
  <w:style w:type="character" w:customStyle="1" w:styleId="BodyText2Char">
    <w:name w:val="Body Text 2 Char"/>
    <w:basedOn w:val="DefaultParagraphFont"/>
    <w:link w:val="BodyText2"/>
    <w:semiHidden/>
    <w:rPr>
      <w:rFonts w:ascii="Arial" w:hAnsi="Arial"/>
      <w:sz w:val="24"/>
      <w:lang w:val="en-GB" w:eastAsia="en-US"/>
    </w:rPr>
  </w:style>
  <w:style w:type="character" w:customStyle="1" w:styleId="BodyText3Char">
    <w:name w:val="Body Text 3 Char"/>
    <w:basedOn w:val="DefaultParagraphFont"/>
    <w:link w:val="BodyText3"/>
    <w:semiHidden/>
    <w:rPr>
      <w:rFonts w:ascii="Arial" w:hAnsi="Arial"/>
      <w:sz w:val="16"/>
      <w:szCs w:val="16"/>
      <w:lang w:val="en-GB" w:eastAsia="en-US"/>
    </w:rPr>
  </w:style>
  <w:style w:type="character" w:customStyle="1" w:styleId="BodyTextIndent2Char">
    <w:name w:val="Body Text Indent 2 Char"/>
    <w:basedOn w:val="DefaultParagraphFont"/>
    <w:link w:val="BodyTextIndent2"/>
    <w:semiHidden/>
    <w:rPr>
      <w:rFonts w:ascii="Arial" w:hAnsi="Arial"/>
      <w:sz w:val="24"/>
      <w:lang w:val="en-GB" w:eastAsia="en-US"/>
    </w:rPr>
  </w:style>
  <w:style w:type="character" w:customStyle="1" w:styleId="BodyTextIndent3Char">
    <w:name w:val="Body Text Indent 3 Char"/>
    <w:basedOn w:val="DefaultParagraphFont"/>
    <w:link w:val="BodyTextIndent3"/>
    <w:semiHidden/>
    <w:rPr>
      <w:rFonts w:ascii="Arial" w:hAnsi="Arial"/>
      <w:sz w:val="16"/>
      <w:szCs w:val="16"/>
      <w:lang w:val="en-GB" w:eastAsia="en-US"/>
    </w:rPr>
  </w:style>
  <w:style w:type="character" w:customStyle="1" w:styleId="PlainTextChar">
    <w:name w:val="Plain Text Char"/>
    <w:basedOn w:val="DefaultParagraphFont"/>
    <w:link w:val="PlainText"/>
    <w:semiHidden/>
    <w:rPr>
      <w:rFonts w:ascii="Courier New" w:hAnsi="Courier New" w:cs="Courier New"/>
      <w:sz w:val="24"/>
      <w:lang w:val="en-GB" w:eastAsia="en-US"/>
    </w:rPr>
  </w:style>
  <w:style w:type="paragraph" w:styleId="Title">
    <w:name w:val="Title"/>
    <w:basedOn w:val="Normal"/>
    <w:next w:val="Normal"/>
    <w:link w:val="TitleChar"/>
    <w:semiHidden/>
    <w:qFormat/>
    <w:pPr>
      <w:contextualSpacing/>
      <w:jc w:val="center"/>
    </w:pPr>
    <w:rPr>
      <w:rFonts w:ascii="Tahoma" w:eastAsiaTheme="majorEastAsia" w:hAnsi="Tahoma" w:cstheme="majorBidi"/>
      <w:b/>
      <w:color w:val="17365D" w:themeColor="text2" w:themeShade="BF"/>
      <w:spacing w:val="5"/>
      <w:kern w:val="28"/>
      <w:sz w:val="48"/>
      <w:szCs w:val="52"/>
      <w:lang w:eastAsia="en-US"/>
    </w:rPr>
  </w:style>
  <w:style w:type="character" w:customStyle="1" w:styleId="TitleChar">
    <w:name w:val="Title Char"/>
    <w:basedOn w:val="DefaultParagraphFont"/>
    <w:link w:val="Title"/>
    <w:semiHidden/>
    <w:rPr>
      <w:rFonts w:ascii="Arial" w:eastAsiaTheme="majorEastAsia" w:hAnsi="Arial" w:cstheme="majorBidi"/>
      <w:b/>
      <w:color w:val="17365D" w:themeColor="text2" w:themeShade="BF"/>
      <w:spacing w:val="5"/>
      <w:kern w:val="28"/>
      <w:sz w:val="48"/>
      <w:szCs w:val="52"/>
      <w:lang w:eastAsia="en-US"/>
    </w:rPr>
  </w:style>
  <w:style w:type="paragraph" w:customStyle="1" w:styleId="Dessertation">
    <w:name w:val="Dessertation"/>
    <w:basedOn w:val="Normal"/>
    <w:semiHidden/>
    <w:qFormat/>
    <w:pPr>
      <w:jc w:val="center"/>
    </w:pPr>
    <w:rPr>
      <w:rFonts w:ascii="Tahoma" w:hAnsi="Tahoma"/>
      <w:sz w:val="34"/>
      <w:szCs w:val="32"/>
      <w:lang w:val="en-US" w:eastAsia="en-US"/>
    </w:rPr>
  </w:style>
  <w:style w:type="paragraph" w:customStyle="1" w:styleId="Month">
    <w:name w:val="Month"/>
    <w:basedOn w:val="Normal"/>
    <w:semiHidden/>
    <w:qFormat/>
    <w:pPr>
      <w:spacing w:after="120"/>
    </w:pPr>
    <w:rPr>
      <w:rFonts w:ascii="Tahoma" w:hAnsi="Tahoma"/>
      <w:sz w:val="34"/>
      <w:szCs w:val="34"/>
      <w:lang w:val="en-US" w:eastAsia="en-US"/>
    </w:rPr>
  </w:style>
  <w:style w:type="paragraph" w:customStyle="1" w:styleId="BibliographyUnder">
    <w:name w:val="Bibliography Under"/>
    <w:basedOn w:val="Bibliography"/>
    <w:qFormat/>
    <w:pPr>
      <w:spacing w:after="240"/>
      <w:ind w:firstLine="0"/>
    </w:pPr>
  </w:style>
  <w:style w:type="paragraph" w:customStyle="1" w:styleId="NormalHeader">
    <w:name w:val="Normal Header"/>
    <w:basedOn w:val="Normal"/>
    <w:qFormat/>
    <w:pPr>
      <w:keepNext/>
      <w:spacing w:after="240" w:line="360" w:lineRule="auto"/>
    </w:pPr>
    <w:rPr>
      <w:rFonts w:ascii="Tahoma" w:hAnsi="Tahoma"/>
      <w:b/>
      <w:szCs w:val="20"/>
      <w:lang w:val="en-GB" w:eastAsia="en-US"/>
    </w:rPr>
  </w:style>
  <w:style w:type="paragraph" w:customStyle="1" w:styleId="NormalHeaderItalic">
    <w:name w:val="Normal Header Italic"/>
    <w:basedOn w:val="NormalHeader"/>
    <w:qFormat/>
    <w:rPr>
      <w:i/>
    </w:rPr>
  </w:style>
  <w:style w:type="paragraph" w:customStyle="1" w:styleId="Chapter">
    <w:name w:val="Chapter"/>
    <w:basedOn w:val="TOCHeading0"/>
    <w:qFormat/>
    <w:rPr>
      <w:caps w:val="0"/>
    </w:rPr>
  </w:style>
  <w:style w:type="character" w:customStyle="1" w:styleId="Heading1Char">
    <w:name w:val="Heading 1 Char"/>
    <w:basedOn w:val="DefaultParagraphFont"/>
    <w:link w:val="Heading1"/>
    <w:rsid w:val="00407A9A"/>
    <w:rPr>
      <w:rFonts w:ascii="Arial" w:hAnsi="Arial" w:cs="Tahoma"/>
      <w:b/>
      <w:bCs/>
      <w:kern w:val="32"/>
      <w:sz w:val="24"/>
      <w:szCs w:val="24"/>
      <w:lang w:val="en-GB"/>
    </w:rPr>
  </w:style>
  <w:style w:type="paragraph" w:styleId="CommentText">
    <w:name w:val="annotation text"/>
    <w:basedOn w:val="Normal"/>
    <w:link w:val="CommentTextChar"/>
    <w:uiPriority w:val="99"/>
    <w:semiHidden/>
    <w:unhideWhenUsed/>
    <w:pPr>
      <w:spacing w:after="240"/>
      <w:jc w:val="both"/>
    </w:pPr>
    <w:rPr>
      <w:rFonts w:ascii="Tahoma" w:hAnsi="Tahoma"/>
      <w:sz w:val="20"/>
      <w:szCs w:val="20"/>
      <w:lang w:val="en-GB" w:eastAsia="en-US"/>
    </w:rPr>
  </w:style>
  <w:style w:type="character" w:customStyle="1" w:styleId="CommentTextChar">
    <w:name w:val="Comment Text Char"/>
    <w:basedOn w:val="DefaultParagraphFont"/>
    <w:link w:val="CommentText"/>
    <w:uiPriority w:val="99"/>
    <w:semiHidden/>
    <w:rPr>
      <w:rFonts w:ascii="Tahoma" w:hAnsi="Tahoma"/>
      <w:lang w:val="en-GB"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8509">
      <w:bodyDiv w:val="1"/>
      <w:marLeft w:val="0"/>
      <w:marRight w:val="0"/>
      <w:marTop w:val="0"/>
      <w:marBottom w:val="0"/>
      <w:divBdr>
        <w:top w:val="none" w:sz="0" w:space="0" w:color="auto"/>
        <w:left w:val="none" w:sz="0" w:space="0" w:color="auto"/>
        <w:bottom w:val="none" w:sz="0" w:space="0" w:color="auto"/>
        <w:right w:val="none" w:sz="0" w:space="0" w:color="auto"/>
      </w:divBdr>
    </w:div>
    <w:div w:id="335571499">
      <w:bodyDiv w:val="1"/>
      <w:marLeft w:val="0"/>
      <w:marRight w:val="0"/>
      <w:marTop w:val="0"/>
      <w:marBottom w:val="0"/>
      <w:divBdr>
        <w:top w:val="none" w:sz="0" w:space="0" w:color="auto"/>
        <w:left w:val="none" w:sz="0" w:space="0" w:color="auto"/>
        <w:bottom w:val="none" w:sz="0" w:space="0" w:color="auto"/>
        <w:right w:val="none" w:sz="0" w:space="0" w:color="auto"/>
      </w:divBdr>
    </w:div>
    <w:div w:id="935022264">
      <w:bodyDiv w:val="1"/>
      <w:marLeft w:val="0"/>
      <w:marRight w:val="0"/>
      <w:marTop w:val="0"/>
      <w:marBottom w:val="0"/>
      <w:divBdr>
        <w:top w:val="none" w:sz="0" w:space="0" w:color="auto"/>
        <w:left w:val="none" w:sz="0" w:space="0" w:color="auto"/>
        <w:bottom w:val="none" w:sz="0" w:space="0" w:color="auto"/>
        <w:right w:val="none" w:sz="0" w:space="0" w:color="auto"/>
      </w:divBdr>
    </w:div>
    <w:div w:id="1617641528">
      <w:bodyDiv w:val="1"/>
      <w:marLeft w:val="0"/>
      <w:marRight w:val="0"/>
      <w:marTop w:val="0"/>
      <w:marBottom w:val="0"/>
      <w:divBdr>
        <w:top w:val="none" w:sz="0" w:space="0" w:color="auto"/>
        <w:left w:val="none" w:sz="0" w:space="0" w:color="auto"/>
        <w:bottom w:val="none" w:sz="0" w:space="0" w:color="auto"/>
        <w:right w:val="none" w:sz="0" w:space="0" w:color="auto"/>
      </w:divBdr>
    </w:div>
    <w:div w:id="1977949672">
      <w:bodyDiv w:val="1"/>
      <w:marLeft w:val="0"/>
      <w:marRight w:val="0"/>
      <w:marTop w:val="0"/>
      <w:marBottom w:val="0"/>
      <w:divBdr>
        <w:top w:val="none" w:sz="0" w:space="0" w:color="auto"/>
        <w:left w:val="none" w:sz="0" w:space="0" w:color="auto"/>
        <w:bottom w:val="none" w:sz="0" w:space="0" w:color="auto"/>
        <w:right w:val="none" w:sz="0" w:space="0" w:color="auto"/>
      </w:divBdr>
    </w:div>
    <w:div w:id="205993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archgate.net/profile/Christiena-Van-Der-Bank/publication/228645009_A_case_study_in_determining_fairness_of_dismissal_as_a_sanction_for_misconduct_in_South_Africa/links/55e9672108ae21d099c2ebe4/A-case-study-in-determining-fairness-of-dismissal-as-a-sanction-for-misconduct-in-South-Afric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ustice.gov.za/legislation/rules/LabourCourt_Rul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ma.org.za/Advice/Knowledge-Hub/Downloads/Case-La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erksmans.com/legal-updates-and-opinions/dismissing-employee-refusing-obey-instru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16387\Downloads\Proposal%20Law%20201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DFCEF-0359-4CCD-A403-094364BED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C:\Users\10516387\Downloads\Proposal Law 2018.dotm</Template>
  <TotalTime>296</TotalTime>
  <Pages>12</Pages>
  <Words>3050</Words>
  <Characters>17388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NWU</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10516387</dc:creator>
  <cp:keywords/>
  <dc:description/>
  <cp:lastModifiedBy>T BAARTZES</cp:lastModifiedBy>
  <cp:revision>16</cp:revision>
  <cp:lastPrinted>2013-02-25T06:57:00Z</cp:lastPrinted>
  <dcterms:created xsi:type="dcterms:W3CDTF">2021-03-28T14:03:00Z</dcterms:created>
  <dcterms:modified xsi:type="dcterms:W3CDTF">2021-05-09T16:12:00Z</dcterms:modified>
</cp:coreProperties>
</file>