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681923494"/>
    <w:bookmarkEnd w:id="0"/>
    <w:p w:rsidR="004B6934" w:rsidRDefault="00722BE5">
      <w:r w:rsidRPr="006F2D8D">
        <w:object w:dxaOrig="9355" w:dyaOrig="14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33.5pt" o:ole="">
            <v:imagedata r:id="rId8" o:title=""/>
          </v:shape>
          <o:OLEObject Type="Embed" ProgID="Word.Document.12" ShapeID="_x0000_i1025" DrawAspect="Content" ObjectID="_1682162464" r:id="rId9">
            <o:FieldCodes>\s</o:FieldCodes>
          </o:OLEObject>
        </w:object>
      </w:r>
      <w:r w:rsidR="006F2D8D">
        <w:br w:type="page"/>
      </w:r>
    </w:p>
    <w:sdt>
      <w:sdtPr>
        <w:rPr>
          <w:rFonts w:asciiTheme="minorHAnsi" w:eastAsiaTheme="minorHAnsi" w:hAnsiTheme="minorHAnsi" w:cstheme="minorBidi"/>
          <w:color w:val="auto"/>
          <w:sz w:val="22"/>
          <w:szCs w:val="22"/>
          <w:lang w:val="en-GB"/>
        </w:rPr>
        <w:id w:val="416292931"/>
        <w:docPartObj>
          <w:docPartGallery w:val="Table of Contents"/>
          <w:docPartUnique/>
        </w:docPartObj>
      </w:sdtPr>
      <w:sdtEndPr>
        <w:rPr>
          <w:b/>
          <w:bCs/>
          <w:noProof/>
        </w:rPr>
      </w:sdtEndPr>
      <w:sdtContent>
        <w:p w:rsidR="004B6934" w:rsidRPr="0053782A" w:rsidRDefault="004B6934" w:rsidP="00553E2F">
          <w:pPr>
            <w:pStyle w:val="TOCHeading"/>
            <w:spacing w:line="360" w:lineRule="auto"/>
            <w:rPr>
              <w:rFonts w:ascii="Arial" w:hAnsi="Arial" w:cs="Arial"/>
              <w:sz w:val="28"/>
              <w:szCs w:val="28"/>
            </w:rPr>
          </w:pPr>
          <w:r w:rsidRPr="0053782A">
            <w:rPr>
              <w:rFonts w:ascii="Arial" w:hAnsi="Arial" w:cs="Arial"/>
              <w:sz w:val="28"/>
              <w:szCs w:val="28"/>
            </w:rPr>
            <w:t>Table of Conten</w:t>
          </w:r>
          <w:bookmarkStart w:id="1" w:name="_GoBack"/>
          <w:bookmarkEnd w:id="1"/>
          <w:r w:rsidRPr="0053782A">
            <w:rPr>
              <w:rFonts w:ascii="Arial" w:hAnsi="Arial" w:cs="Arial"/>
              <w:sz w:val="28"/>
              <w:szCs w:val="28"/>
            </w:rPr>
            <w:t>ts</w:t>
          </w:r>
        </w:p>
        <w:p w:rsidR="0055129F" w:rsidRDefault="004B6934">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1549718" w:history="1">
            <w:r w:rsidR="0055129F" w:rsidRPr="003362DB">
              <w:rPr>
                <w:rStyle w:val="Hyperlink"/>
                <w:rFonts w:ascii="Arial" w:hAnsi="Arial" w:cs="Arial"/>
                <w:noProof/>
              </w:rPr>
              <w:t>1. Introduction and background</w:t>
            </w:r>
            <w:r w:rsidR="0055129F">
              <w:rPr>
                <w:noProof/>
                <w:webHidden/>
              </w:rPr>
              <w:tab/>
            </w:r>
            <w:r w:rsidR="0055129F">
              <w:rPr>
                <w:noProof/>
                <w:webHidden/>
              </w:rPr>
              <w:fldChar w:fldCharType="begin"/>
            </w:r>
            <w:r w:rsidR="0055129F">
              <w:rPr>
                <w:noProof/>
                <w:webHidden/>
              </w:rPr>
              <w:instrText xml:space="preserve"> PAGEREF _Toc71549718 \h </w:instrText>
            </w:r>
            <w:r w:rsidR="0055129F">
              <w:rPr>
                <w:noProof/>
                <w:webHidden/>
              </w:rPr>
            </w:r>
            <w:r w:rsidR="0055129F">
              <w:rPr>
                <w:noProof/>
                <w:webHidden/>
              </w:rPr>
              <w:fldChar w:fldCharType="separate"/>
            </w:r>
            <w:r w:rsidR="0055129F">
              <w:rPr>
                <w:noProof/>
                <w:webHidden/>
              </w:rPr>
              <w:t>3</w:t>
            </w:r>
            <w:r w:rsidR="0055129F">
              <w:rPr>
                <w:noProof/>
                <w:webHidden/>
              </w:rPr>
              <w:fldChar w:fldCharType="end"/>
            </w:r>
          </w:hyperlink>
        </w:p>
        <w:p w:rsidR="0055129F" w:rsidRDefault="0055129F">
          <w:pPr>
            <w:pStyle w:val="TOC1"/>
            <w:tabs>
              <w:tab w:val="right" w:leader="dot" w:pos="9016"/>
            </w:tabs>
            <w:rPr>
              <w:rFonts w:eastAsiaTheme="minorEastAsia"/>
              <w:noProof/>
              <w:lang w:eastAsia="en-GB"/>
            </w:rPr>
          </w:pPr>
          <w:hyperlink w:anchor="_Toc71549719" w:history="1">
            <w:r w:rsidRPr="003362DB">
              <w:rPr>
                <w:rStyle w:val="Hyperlink"/>
                <w:rFonts w:ascii="Arial" w:hAnsi="Arial" w:cs="Arial"/>
                <w:noProof/>
              </w:rPr>
              <w:t>2. Transgression Description</w:t>
            </w:r>
            <w:r>
              <w:rPr>
                <w:noProof/>
                <w:webHidden/>
              </w:rPr>
              <w:tab/>
            </w:r>
            <w:r>
              <w:rPr>
                <w:noProof/>
                <w:webHidden/>
              </w:rPr>
              <w:fldChar w:fldCharType="begin"/>
            </w:r>
            <w:r>
              <w:rPr>
                <w:noProof/>
                <w:webHidden/>
              </w:rPr>
              <w:instrText xml:space="preserve"> PAGEREF _Toc71549719 \h </w:instrText>
            </w:r>
            <w:r>
              <w:rPr>
                <w:noProof/>
                <w:webHidden/>
              </w:rPr>
            </w:r>
            <w:r>
              <w:rPr>
                <w:noProof/>
                <w:webHidden/>
              </w:rPr>
              <w:fldChar w:fldCharType="separate"/>
            </w:r>
            <w:r>
              <w:rPr>
                <w:noProof/>
                <w:webHidden/>
              </w:rPr>
              <w:t>4</w:t>
            </w:r>
            <w:r>
              <w:rPr>
                <w:noProof/>
                <w:webHidden/>
              </w:rPr>
              <w:fldChar w:fldCharType="end"/>
            </w:r>
          </w:hyperlink>
        </w:p>
        <w:p w:rsidR="0055129F" w:rsidRDefault="0055129F">
          <w:pPr>
            <w:pStyle w:val="TOC2"/>
            <w:tabs>
              <w:tab w:val="right" w:leader="dot" w:pos="9016"/>
            </w:tabs>
            <w:rPr>
              <w:rFonts w:eastAsiaTheme="minorEastAsia"/>
              <w:noProof/>
              <w:lang w:eastAsia="en-GB"/>
            </w:rPr>
          </w:pPr>
          <w:hyperlink w:anchor="_Toc71549720" w:history="1">
            <w:r w:rsidRPr="003362DB">
              <w:rPr>
                <w:rStyle w:val="Hyperlink"/>
                <w:rFonts w:ascii="Arial" w:hAnsi="Arial" w:cs="Arial"/>
                <w:noProof/>
              </w:rPr>
              <w:t>2.1. What is Gross insubordination?</w:t>
            </w:r>
            <w:r>
              <w:rPr>
                <w:noProof/>
                <w:webHidden/>
              </w:rPr>
              <w:tab/>
            </w:r>
            <w:r>
              <w:rPr>
                <w:noProof/>
                <w:webHidden/>
              </w:rPr>
              <w:fldChar w:fldCharType="begin"/>
            </w:r>
            <w:r>
              <w:rPr>
                <w:noProof/>
                <w:webHidden/>
              </w:rPr>
              <w:instrText xml:space="preserve"> PAGEREF _Toc71549720 \h </w:instrText>
            </w:r>
            <w:r>
              <w:rPr>
                <w:noProof/>
                <w:webHidden/>
              </w:rPr>
            </w:r>
            <w:r>
              <w:rPr>
                <w:noProof/>
                <w:webHidden/>
              </w:rPr>
              <w:fldChar w:fldCharType="separate"/>
            </w:r>
            <w:r>
              <w:rPr>
                <w:noProof/>
                <w:webHidden/>
              </w:rPr>
              <w:t>4</w:t>
            </w:r>
            <w:r>
              <w:rPr>
                <w:noProof/>
                <w:webHidden/>
              </w:rPr>
              <w:fldChar w:fldCharType="end"/>
            </w:r>
          </w:hyperlink>
        </w:p>
        <w:p w:rsidR="0055129F" w:rsidRDefault="0055129F">
          <w:pPr>
            <w:pStyle w:val="TOC2"/>
            <w:tabs>
              <w:tab w:val="right" w:leader="dot" w:pos="9016"/>
            </w:tabs>
            <w:rPr>
              <w:rFonts w:eastAsiaTheme="minorEastAsia"/>
              <w:noProof/>
              <w:lang w:eastAsia="en-GB"/>
            </w:rPr>
          </w:pPr>
          <w:hyperlink w:anchor="_Toc71549721" w:history="1">
            <w:r w:rsidRPr="003362DB">
              <w:rPr>
                <w:rStyle w:val="Hyperlink"/>
                <w:rFonts w:ascii="Arial" w:hAnsi="Arial" w:cs="Arial"/>
                <w:noProof/>
              </w:rPr>
              <w:t>2.2. Gross Insubordination in the Glencore Operations SA v Simon Mohubedu Ranthu labour court case</w:t>
            </w:r>
            <w:r>
              <w:rPr>
                <w:noProof/>
                <w:webHidden/>
              </w:rPr>
              <w:tab/>
            </w:r>
            <w:r>
              <w:rPr>
                <w:noProof/>
                <w:webHidden/>
              </w:rPr>
              <w:fldChar w:fldCharType="begin"/>
            </w:r>
            <w:r>
              <w:rPr>
                <w:noProof/>
                <w:webHidden/>
              </w:rPr>
              <w:instrText xml:space="preserve"> PAGEREF _Toc71549721 \h </w:instrText>
            </w:r>
            <w:r>
              <w:rPr>
                <w:noProof/>
                <w:webHidden/>
              </w:rPr>
            </w:r>
            <w:r>
              <w:rPr>
                <w:noProof/>
                <w:webHidden/>
              </w:rPr>
              <w:fldChar w:fldCharType="separate"/>
            </w:r>
            <w:r>
              <w:rPr>
                <w:noProof/>
                <w:webHidden/>
              </w:rPr>
              <w:t>4</w:t>
            </w:r>
            <w:r>
              <w:rPr>
                <w:noProof/>
                <w:webHidden/>
              </w:rPr>
              <w:fldChar w:fldCharType="end"/>
            </w:r>
          </w:hyperlink>
        </w:p>
        <w:p w:rsidR="0055129F" w:rsidRDefault="0055129F">
          <w:pPr>
            <w:pStyle w:val="TOC1"/>
            <w:tabs>
              <w:tab w:val="right" w:leader="dot" w:pos="9016"/>
            </w:tabs>
            <w:rPr>
              <w:rFonts w:eastAsiaTheme="minorEastAsia"/>
              <w:noProof/>
              <w:lang w:eastAsia="en-GB"/>
            </w:rPr>
          </w:pPr>
          <w:hyperlink w:anchor="_Toc71549722" w:history="1">
            <w:r w:rsidRPr="003362DB">
              <w:rPr>
                <w:rStyle w:val="Hyperlink"/>
                <w:rFonts w:ascii="Arial" w:hAnsi="Arial" w:cs="Arial"/>
                <w:noProof/>
              </w:rPr>
              <w:t>3. The role players and the facts of the case</w:t>
            </w:r>
            <w:r>
              <w:rPr>
                <w:noProof/>
                <w:webHidden/>
              </w:rPr>
              <w:tab/>
            </w:r>
            <w:r>
              <w:rPr>
                <w:noProof/>
                <w:webHidden/>
              </w:rPr>
              <w:fldChar w:fldCharType="begin"/>
            </w:r>
            <w:r>
              <w:rPr>
                <w:noProof/>
                <w:webHidden/>
              </w:rPr>
              <w:instrText xml:space="preserve"> PAGEREF _Toc71549722 \h </w:instrText>
            </w:r>
            <w:r>
              <w:rPr>
                <w:noProof/>
                <w:webHidden/>
              </w:rPr>
            </w:r>
            <w:r>
              <w:rPr>
                <w:noProof/>
                <w:webHidden/>
              </w:rPr>
              <w:fldChar w:fldCharType="separate"/>
            </w:r>
            <w:r>
              <w:rPr>
                <w:noProof/>
                <w:webHidden/>
              </w:rPr>
              <w:t>6</w:t>
            </w:r>
            <w:r>
              <w:rPr>
                <w:noProof/>
                <w:webHidden/>
              </w:rPr>
              <w:fldChar w:fldCharType="end"/>
            </w:r>
          </w:hyperlink>
        </w:p>
        <w:p w:rsidR="0055129F" w:rsidRDefault="0055129F">
          <w:pPr>
            <w:pStyle w:val="TOC2"/>
            <w:tabs>
              <w:tab w:val="right" w:leader="dot" w:pos="9016"/>
            </w:tabs>
            <w:rPr>
              <w:rFonts w:eastAsiaTheme="minorEastAsia"/>
              <w:noProof/>
              <w:lang w:eastAsia="en-GB"/>
            </w:rPr>
          </w:pPr>
          <w:hyperlink w:anchor="_Toc71549723" w:history="1">
            <w:r w:rsidRPr="003362DB">
              <w:rPr>
                <w:rStyle w:val="Hyperlink"/>
                <w:rFonts w:ascii="Arial" w:hAnsi="Arial" w:cs="Arial"/>
                <w:noProof/>
              </w:rPr>
              <w:t>3.1. Commission for Conciliation, Mediation and Arbitration role players</w:t>
            </w:r>
            <w:r>
              <w:rPr>
                <w:noProof/>
                <w:webHidden/>
              </w:rPr>
              <w:tab/>
            </w:r>
            <w:r>
              <w:rPr>
                <w:noProof/>
                <w:webHidden/>
              </w:rPr>
              <w:fldChar w:fldCharType="begin"/>
            </w:r>
            <w:r>
              <w:rPr>
                <w:noProof/>
                <w:webHidden/>
              </w:rPr>
              <w:instrText xml:space="preserve"> PAGEREF _Toc71549723 \h </w:instrText>
            </w:r>
            <w:r>
              <w:rPr>
                <w:noProof/>
                <w:webHidden/>
              </w:rPr>
            </w:r>
            <w:r>
              <w:rPr>
                <w:noProof/>
                <w:webHidden/>
              </w:rPr>
              <w:fldChar w:fldCharType="separate"/>
            </w:r>
            <w:r>
              <w:rPr>
                <w:noProof/>
                <w:webHidden/>
              </w:rPr>
              <w:t>6</w:t>
            </w:r>
            <w:r>
              <w:rPr>
                <w:noProof/>
                <w:webHidden/>
              </w:rPr>
              <w:fldChar w:fldCharType="end"/>
            </w:r>
          </w:hyperlink>
        </w:p>
        <w:p w:rsidR="0055129F" w:rsidRDefault="0055129F">
          <w:pPr>
            <w:pStyle w:val="TOC2"/>
            <w:tabs>
              <w:tab w:val="right" w:leader="dot" w:pos="9016"/>
            </w:tabs>
            <w:rPr>
              <w:rFonts w:eastAsiaTheme="minorEastAsia"/>
              <w:noProof/>
              <w:lang w:eastAsia="en-GB"/>
            </w:rPr>
          </w:pPr>
          <w:hyperlink w:anchor="_Toc71549724" w:history="1">
            <w:r w:rsidRPr="003362DB">
              <w:rPr>
                <w:rStyle w:val="Hyperlink"/>
                <w:rFonts w:ascii="Arial" w:hAnsi="Arial" w:cs="Arial"/>
                <w:noProof/>
              </w:rPr>
              <w:t>3.2. The facts of the case</w:t>
            </w:r>
            <w:r>
              <w:rPr>
                <w:noProof/>
                <w:webHidden/>
              </w:rPr>
              <w:tab/>
            </w:r>
            <w:r>
              <w:rPr>
                <w:noProof/>
                <w:webHidden/>
              </w:rPr>
              <w:fldChar w:fldCharType="begin"/>
            </w:r>
            <w:r>
              <w:rPr>
                <w:noProof/>
                <w:webHidden/>
              </w:rPr>
              <w:instrText xml:space="preserve"> PAGEREF _Toc71549724 \h </w:instrText>
            </w:r>
            <w:r>
              <w:rPr>
                <w:noProof/>
                <w:webHidden/>
              </w:rPr>
            </w:r>
            <w:r>
              <w:rPr>
                <w:noProof/>
                <w:webHidden/>
              </w:rPr>
              <w:fldChar w:fldCharType="separate"/>
            </w:r>
            <w:r>
              <w:rPr>
                <w:noProof/>
                <w:webHidden/>
              </w:rPr>
              <w:t>7</w:t>
            </w:r>
            <w:r>
              <w:rPr>
                <w:noProof/>
                <w:webHidden/>
              </w:rPr>
              <w:fldChar w:fldCharType="end"/>
            </w:r>
          </w:hyperlink>
        </w:p>
        <w:p w:rsidR="0055129F" w:rsidRDefault="0055129F">
          <w:pPr>
            <w:pStyle w:val="TOC1"/>
            <w:tabs>
              <w:tab w:val="right" w:leader="dot" w:pos="9016"/>
            </w:tabs>
            <w:rPr>
              <w:rFonts w:eastAsiaTheme="minorEastAsia"/>
              <w:noProof/>
              <w:lang w:eastAsia="en-GB"/>
            </w:rPr>
          </w:pPr>
          <w:hyperlink w:anchor="_Toc71549725" w:history="1">
            <w:r w:rsidRPr="003362DB">
              <w:rPr>
                <w:rStyle w:val="Hyperlink"/>
                <w:rFonts w:ascii="Arial" w:hAnsi="Arial" w:cs="Arial"/>
                <w:noProof/>
              </w:rPr>
              <w:t>4. Mitigating factors</w:t>
            </w:r>
            <w:r>
              <w:rPr>
                <w:noProof/>
                <w:webHidden/>
              </w:rPr>
              <w:tab/>
            </w:r>
            <w:r>
              <w:rPr>
                <w:noProof/>
                <w:webHidden/>
              </w:rPr>
              <w:fldChar w:fldCharType="begin"/>
            </w:r>
            <w:r>
              <w:rPr>
                <w:noProof/>
                <w:webHidden/>
              </w:rPr>
              <w:instrText xml:space="preserve"> PAGEREF _Toc71549725 \h </w:instrText>
            </w:r>
            <w:r>
              <w:rPr>
                <w:noProof/>
                <w:webHidden/>
              </w:rPr>
            </w:r>
            <w:r>
              <w:rPr>
                <w:noProof/>
                <w:webHidden/>
              </w:rPr>
              <w:fldChar w:fldCharType="separate"/>
            </w:r>
            <w:r>
              <w:rPr>
                <w:noProof/>
                <w:webHidden/>
              </w:rPr>
              <w:t>8</w:t>
            </w:r>
            <w:r>
              <w:rPr>
                <w:noProof/>
                <w:webHidden/>
              </w:rPr>
              <w:fldChar w:fldCharType="end"/>
            </w:r>
          </w:hyperlink>
        </w:p>
        <w:p w:rsidR="0055129F" w:rsidRDefault="0055129F">
          <w:pPr>
            <w:pStyle w:val="TOC1"/>
            <w:tabs>
              <w:tab w:val="right" w:leader="dot" w:pos="9016"/>
            </w:tabs>
            <w:rPr>
              <w:rFonts w:eastAsiaTheme="minorEastAsia"/>
              <w:noProof/>
              <w:lang w:eastAsia="en-GB"/>
            </w:rPr>
          </w:pPr>
          <w:hyperlink w:anchor="_Toc71549726" w:history="1">
            <w:r w:rsidRPr="003362DB">
              <w:rPr>
                <w:rStyle w:val="Hyperlink"/>
                <w:rFonts w:ascii="Arial" w:hAnsi="Arial" w:cs="Arial"/>
                <w:noProof/>
              </w:rPr>
              <w:t>5. Conclusion</w:t>
            </w:r>
            <w:r>
              <w:rPr>
                <w:noProof/>
                <w:webHidden/>
              </w:rPr>
              <w:tab/>
            </w:r>
            <w:r>
              <w:rPr>
                <w:noProof/>
                <w:webHidden/>
              </w:rPr>
              <w:fldChar w:fldCharType="begin"/>
            </w:r>
            <w:r>
              <w:rPr>
                <w:noProof/>
                <w:webHidden/>
              </w:rPr>
              <w:instrText xml:space="preserve"> PAGEREF _Toc71549726 \h </w:instrText>
            </w:r>
            <w:r>
              <w:rPr>
                <w:noProof/>
                <w:webHidden/>
              </w:rPr>
            </w:r>
            <w:r>
              <w:rPr>
                <w:noProof/>
                <w:webHidden/>
              </w:rPr>
              <w:fldChar w:fldCharType="separate"/>
            </w:r>
            <w:r>
              <w:rPr>
                <w:noProof/>
                <w:webHidden/>
              </w:rPr>
              <w:t>9</w:t>
            </w:r>
            <w:r>
              <w:rPr>
                <w:noProof/>
                <w:webHidden/>
              </w:rPr>
              <w:fldChar w:fldCharType="end"/>
            </w:r>
          </w:hyperlink>
        </w:p>
        <w:p w:rsidR="0055129F" w:rsidRDefault="0055129F">
          <w:pPr>
            <w:pStyle w:val="TOC1"/>
            <w:tabs>
              <w:tab w:val="right" w:leader="dot" w:pos="9016"/>
            </w:tabs>
            <w:rPr>
              <w:rFonts w:eastAsiaTheme="minorEastAsia"/>
              <w:noProof/>
              <w:lang w:eastAsia="en-GB"/>
            </w:rPr>
          </w:pPr>
          <w:hyperlink w:anchor="_Toc71549727" w:history="1">
            <w:r w:rsidRPr="003362DB">
              <w:rPr>
                <w:rStyle w:val="Hyperlink"/>
                <w:rFonts w:ascii="Arial" w:hAnsi="Arial" w:cs="Arial"/>
                <w:noProof/>
              </w:rPr>
              <w:t>6. Reference List</w:t>
            </w:r>
            <w:r>
              <w:rPr>
                <w:noProof/>
                <w:webHidden/>
              </w:rPr>
              <w:tab/>
            </w:r>
            <w:r>
              <w:rPr>
                <w:noProof/>
                <w:webHidden/>
              </w:rPr>
              <w:fldChar w:fldCharType="begin"/>
            </w:r>
            <w:r>
              <w:rPr>
                <w:noProof/>
                <w:webHidden/>
              </w:rPr>
              <w:instrText xml:space="preserve"> PAGEREF _Toc71549727 \h </w:instrText>
            </w:r>
            <w:r>
              <w:rPr>
                <w:noProof/>
                <w:webHidden/>
              </w:rPr>
            </w:r>
            <w:r>
              <w:rPr>
                <w:noProof/>
                <w:webHidden/>
              </w:rPr>
              <w:fldChar w:fldCharType="separate"/>
            </w:r>
            <w:r>
              <w:rPr>
                <w:noProof/>
                <w:webHidden/>
              </w:rPr>
              <w:t>10</w:t>
            </w:r>
            <w:r>
              <w:rPr>
                <w:noProof/>
                <w:webHidden/>
              </w:rPr>
              <w:fldChar w:fldCharType="end"/>
            </w:r>
          </w:hyperlink>
        </w:p>
        <w:p w:rsidR="004B6934" w:rsidRDefault="004B6934" w:rsidP="00553E2F">
          <w:pPr>
            <w:spacing w:line="360" w:lineRule="auto"/>
          </w:pPr>
          <w:r>
            <w:rPr>
              <w:b/>
              <w:bCs/>
              <w:noProof/>
            </w:rPr>
            <w:fldChar w:fldCharType="end"/>
          </w:r>
        </w:p>
      </w:sdtContent>
    </w:sdt>
    <w:p w:rsidR="00A5043E" w:rsidRDefault="00A5043E"/>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4B6934" w:rsidRDefault="004B6934"/>
    <w:p w:rsidR="001A20E7" w:rsidRDefault="001A20E7" w:rsidP="00423084">
      <w:pPr>
        <w:spacing w:line="360" w:lineRule="auto"/>
        <w:jc w:val="center"/>
        <w:rPr>
          <w:rFonts w:ascii="Arial" w:hAnsi="Arial" w:cs="Arial"/>
          <w:b/>
          <w:sz w:val="28"/>
          <w:szCs w:val="28"/>
        </w:rPr>
      </w:pPr>
    </w:p>
    <w:p w:rsidR="004B6934" w:rsidRDefault="004B6934" w:rsidP="00423084">
      <w:pPr>
        <w:spacing w:line="360" w:lineRule="auto"/>
        <w:jc w:val="center"/>
        <w:rPr>
          <w:rFonts w:ascii="Arial" w:hAnsi="Arial" w:cs="Arial"/>
          <w:b/>
          <w:sz w:val="28"/>
          <w:szCs w:val="28"/>
        </w:rPr>
      </w:pPr>
      <w:r w:rsidRPr="004B6934">
        <w:rPr>
          <w:rFonts w:ascii="Arial" w:hAnsi="Arial" w:cs="Arial"/>
          <w:b/>
          <w:sz w:val="28"/>
          <w:szCs w:val="28"/>
        </w:rPr>
        <w:lastRenderedPageBreak/>
        <w:t>Glencore Operations SA v</w:t>
      </w:r>
      <w:r w:rsidR="00627E56">
        <w:rPr>
          <w:rFonts w:ascii="Arial" w:hAnsi="Arial" w:cs="Arial"/>
          <w:b/>
          <w:sz w:val="28"/>
          <w:szCs w:val="28"/>
        </w:rPr>
        <w:t xml:space="preserve"> Simon Mohubedu Ranthu (JR 1906/</w:t>
      </w:r>
      <w:r w:rsidRPr="004B6934">
        <w:rPr>
          <w:rFonts w:ascii="Arial" w:hAnsi="Arial" w:cs="Arial"/>
          <w:b/>
          <w:sz w:val="28"/>
          <w:szCs w:val="28"/>
        </w:rPr>
        <w:t>14) Group Assignment Report</w:t>
      </w:r>
    </w:p>
    <w:p w:rsidR="004B6934" w:rsidRDefault="004B6934" w:rsidP="00423084">
      <w:pPr>
        <w:spacing w:line="360" w:lineRule="auto"/>
        <w:rPr>
          <w:rFonts w:ascii="Arial" w:hAnsi="Arial" w:cs="Arial"/>
          <w:b/>
          <w:sz w:val="28"/>
          <w:szCs w:val="28"/>
        </w:rPr>
      </w:pPr>
    </w:p>
    <w:p w:rsidR="004B6934" w:rsidRPr="00F32C3B" w:rsidRDefault="0000752E" w:rsidP="00105F35">
      <w:pPr>
        <w:pStyle w:val="Heading1"/>
        <w:spacing w:line="360" w:lineRule="auto"/>
        <w:jc w:val="both"/>
        <w:rPr>
          <w:rFonts w:ascii="Arial" w:hAnsi="Arial" w:cs="Arial"/>
          <w:sz w:val="24"/>
          <w:szCs w:val="24"/>
        </w:rPr>
      </w:pPr>
      <w:bookmarkStart w:id="2" w:name="_Toc71549718"/>
      <w:r>
        <w:rPr>
          <w:rFonts w:ascii="Arial" w:hAnsi="Arial" w:cs="Arial"/>
          <w:sz w:val="24"/>
          <w:szCs w:val="24"/>
        </w:rPr>
        <w:t xml:space="preserve">1. </w:t>
      </w:r>
      <w:r w:rsidR="00CA04CE" w:rsidRPr="00F32C3B">
        <w:rPr>
          <w:rFonts w:ascii="Arial" w:hAnsi="Arial" w:cs="Arial"/>
          <w:sz w:val="24"/>
          <w:szCs w:val="24"/>
        </w:rPr>
        <w:t>Introduction and background</w:t>
      </w:r>
      <w:bookmarkEnd w:id="2"/>
    </w:p>
    <w:p w:rsidR="002038AA" w:rsidRPr="002038AA" w:rsidRDefault="002038AA" w:rsidP="00105F35">
      <w:pPr>
        <w:spacing w:line="360" w:lineRule="auto"/>
        <w:jc w:val="both"/>
        <w:rPr>
          <w:rFonts w:ascii="Arial" w:hAnsi="Arial" w:cs="Arial"/>
          <w:sz w:val="24"/>
          <w:szCs w:val="24"/>
        </w:rPr>
      </w:pPr>
      <w:r w:rsidRPr="002038AA">
        <w:rPr>
          <w:rFonts w:ascii="Arial" w:hAnsi="Arial" w:cs="Arial"/>
          <w:sz w:val="24"/>
          <w:szCs w:val="24"/>
        </w:rPr>
        <w:t>South Africa is a country where more than 60% of the households are still earning their income through wages/salaries (Statistics South Africa, 2019). This indicates that more people spend approximately nine hours (9) hours per day, not only working but also engaging with their employers (Statistics South Africa, 2020). No matter how harmonious the relationship between the employer and employee is, disputes/disagreements/fights will develop. Hence the Constitution of the country, in the Bill of Rights, Section 23 (Labour Relations) addresses this relationship. This relationship is further addressed in detail in Labour Relations Act no. 66 of 1995.</w:t>
      </w:r>
    </w:p>
    <w:p w:rsidR="002038AA" w:rsidRPr="002038AA" w:rsidRDefault="002038AA" w:rsidP="00105F35">
      <w:pPr>
        <w:spacing w:line="360" w:lineRule="auto"/>
        <w:jc w:val="both"/>
        <w:rPr>
          <w:rFonts w:ascii="Arial" w:hAnsi="Arial" w:cs="Arial"/>
          <w:sz w:val="24"/>
          <w:szCs w:val="24"/>
        </w:rPr>
      </w:pPr>
      <w:r w:rsidRPr="002038AA">
        <w:rPr>
          <w:rFonts w:ascii="Arial" w:hAnsi="Arial" w:cs="Arial"/>
          <w:sz w:val="24"/>
          <w:szCs w:val="24"/>
        </w:rPr>
        <w:t>Even with all the above-mentioned rules and regulations and others like the Basic Conditions of Employment Act, 1997, the disputes/fights are unavoidable, due to the perception of Distributive, Procedural and Interpersonal Injustice. Thus, The Commission for Conciliation, Mediation and Arbitration (CCMA) and ultimately Labour Court was formed in order to resolve the labour disputes. (Nel</w:t>
      </w:r>
      <w:r w:rsidR="002A2D7F">
        <w:rPr>
          <w:rFonts w:ascii="Arial" w:hAnsi="Arial" w:cs="Arial"/>
          <w:sz w:val="24"/>
          <w:szCs w:val="24"/>
        </w:rPr>
        <w:t>, 2016:</w:t>
      </w:r>
      <w:r w:rsidRPr="002038AA">
        <w:rPr>
          <w:rFonts w:ascii="Arial" w:hAnsi="Arial" w:cs="Arial"/>
          <w:sz w:val="24"/>
          <w:szCs w:val="24"/>
        </w:rPr>
        <w:t>21)</w:t>
      </w:r>
    </w:p>
    <w:p w:rsidR="002038AA" w:rsidRPr="002038AA" w:rsidRDefault="002038AA" w:rsidP="00105F35">
      <w:pPr>
        <w:spacing w:line="360" w:lineRule="auto"/>
        <w:jc w:val="both"/>
        <w:rPr>
          <w:rFonts w:ascii="Arial" w:hAnsi="Arial" w:cs="Arial"/>
          <w:sz w:val="24"/>
          <w:szCs w:val="24"/>
        </w:rPr>
      </w:pPr>
      <w:r w:rsidRPr="002038AA">
        <w:rPr>
          <w:rFonts w:ascii="Arial" w:hAnsi="Arial" w:cs="Arial"/>
          <w:sz w:val="24"/>
          <w:szCs w:val="24"/>
        </w:rPr>
        <w:t>Mr Maripane found himself seeking the intervention of the CCMA, subsequent to his dismissal by the employer, Glencore Operations South Africa (Pty) Ltd (Lion Ferrochrome). The employer’s reason for the dismissal of Mr Maripane is gross insubordination. The Arbitrator (CCMA) ruled in favour of Mr Maripane, instructing his reinstatement and remuneration for the previous seven (7) months. (Glencore Operations SA v</w:t>
      </w:r>
      <w:r w:rsidR="00627E56">
        <w:rPr>
          <w:rFonts w:ascii="Arial" w:hAnsi="Arial" w:cs="Arial"/>
          <w:sz w:val="24"/>
          <w:szCs w:val="24"/>
        </w:rPr>
        <w:t xml:space="preserve"> Simon Mohubedu Ranthu (JR 1906/</w:t>
      </w:r>
      <w:r w:rsidR="002F67CF">
        <w:rPr>
          <w:rFonts w:ascii="Arial" w:hAnsi="Arial" w:cs="Arial"/>
          <w:sz w:val="24"/>
          <w:szCs w:val="24"/>
        </w:rPr>
        <w:t>14), 2016:</w:t>
      </w:r>
      <w:r w:rsidRPr="002038AA">
        <w:rPr>
          <w:rFonts w:ascii="Arial" w:hAnsi="Arial" w:cs="Arial"/>
          <w:sz w:val="24"/>
          <w:szCs w:val="24"/>
        </w:rPr>
        <w:t>3-9)</w:t>
      </w:r>
    </w:p>
    <w:p w:rsidR="002038AA" w:rsidRPr="002038AA" w:rsidRDefault="002038AA" w:rsidP="00105F35">
      <w:pPr>
        <w:spacing w:line="360" w:lineRule="auto"/>
        <w:jc w:val="both"/>
        <w:rPr>
          <w:rFonts w:ascii="Arial" w:hAnsi="Arial" w:cs="Arial"/>
          <w:sz w:val="24"/>
          <w:szCs w:val="24"/>
        </w:rPr>
      </w:pPr>
      <w:r w:rsidRPr="002038AA">
        <w:rPr>
          <w:rFonts w:ascii="Arial" w:hAnsi="Arial" w:cs="Arial"/>
          <w:sz w:val="24"/>
          <w:szCs w:val="24"/>
        </w:rPr>
        <w:t>The judgement to be discussed in this report was issued by the Labour Court, in a Case JR 1906/14, where the applicant is Glencore Operations South Africa (Pty) Ltd (Lion Ferrochrome), First Respondent is National Union of Mineworkers (NUM), on behalf of Mr Simon Maripane and the Second Respondent is CCMA, represented by Mr Simon Mohubedu Rantho. (Glencore Operations SA v</w:t>
      </w:r>
      <w:r w:rsidR="00627E56">
        <w:rPr>
          <w:rFonts w:ascii="Arial" w:hAnsi="Arial" w:cs="Arial"/>
          <w:sz w:val="24"/>
          <w:szCs w:val="24"/>
        </w:rPr>
        <w:t xml:space="preserve"> Simon Mohubedu Ranthu (JR 1906/</w:t>
      </w:r>
      <w:r w:rsidR="002F67CF">
        <w:rPr>
          <w:rFonts w:ascii="Arial" w:hAnsi="Arial" w:cs="Arial"/>
          <w:sz w:val="24"/>
          <w:szCs w:val="24"/>
        </w:rPr>
        <w:t>14), 2016:</w:t>
      </w:r>
      <w:r w:rsidRPr="002038AA">
        <w:rPr>
          <w:rFonts w:ascii="Arial" w:hAnsi="Arial" w:cs="Arial"/>
          <w:sz w:val="24"/>
          <w:szCs w:val="24"/>
        </w:rPr>
        <w:t>1-2)</w:t>
      </w:r>
    </w:p>
    <w:p w:rsidR="003D6483" w:rsidRDefault="002038AA" w:rsidP="00105F35">
      <w:pPr>
        <w:spacing w:line="360" w:lineRule="auto"/>
        <w:jc w:val="both"/>
        <w:rPr>
          <w:rFonts w:ascii="Arial" w:hAnsi="Arial" w:cs="Arial"/>
          <w:sz w:val="24"/>
          <w:szCs w:val="24"/>
        </w:rPr>
      </w:pPr>
      <w:r w:rsidRPr="002038AA">
        <w:rPr>
          <w:rFonts w:ascii="Arial" w:hAnsi="Arial" w:cs="Arial"/>
          <w:sz w:val="24"/>
          <w:szCs w:val="24"/>
        </w:rPr>
        <w:t xml:space="preserve">The applicant has taken the ruling by CCMA to Labour Court, asking the court to review and set aside this ruling, while on the other hand, the First Respondent is asking </w:t>
      </w:r>
      <w:r w:rsidRPr="002038AA">
        <w:rPr>
          <w:rFonts w:ascii="Arial" w:hAnsi="Arial" w:cs="Arial"/>
          <w:sz w:val="24"/>
          <w:szCs w:val="24"/>
        </w:rPr>
        <w:lastRenderedPageBreak/>
        <w:t>for cross-review on the CCMA ruling of gross insubordination and sanction of a final written warning. (Glencore Operations SA v</w:t>
      </w:r>
      <w:r w:rsidR="00627E56">
        <w:rPr>
          <w:rFonts w:ascii="Arial" w:hAnsi="Arial" w:cs="Arial"/>
          <w:sz w:val="24"/>
          <w:szCs w:val="24"/>
        </w:rPr>
        <w:t xml:space="preserve"> Simon Mohubedu Ranthu (JR 1906/</w:t>
      </w:r>
      <w:r w:rsidR="002F67CF">
        <w:rPr>
          <w:rFonts w:ascii="Arial" w:hAnsi="Arial" w:cs="Arial"/>
          <w:sz w:val="24"/>
          <w:szCs w:val="24"/>
        </w:rPr>
        <w:t>14), 2016:</w:t>
      </w:r>
      <w:r w:rsidRPr="002038AA">
        <w:rPr>
          <w:rFonts w:ascii="Arial" w:hAnsi="Arial" w:cs="Arial"/>
          <w:sz w:val="24"/>
          <w:szCs w:val="24"/>
        </w:rPr>
        <w:t>3)</w:t>
      </w:r>
    </w:p>
    <w:p w:rsidR="002038AA" w:rsidRDefault="002038AA" w:rsidP="00105F35">
      <w:pPr>
        <w:spacing w:line="360" w:lineRule="auto"/>
        <w:jc w:val="both"/>
        <w:rPr>
          <w:rFonts w:ascii="Arial" w:hAnsi="Arial" w:cs="Arial"/>
          <w:sz w:val="24"/>
          <w:szCs w:val="24"/>
        </w:rPr>
      </w:pPr>
    </w:p>
    <w:p w:rsidR="003D6483" w:rsidRPr="00094F59" w:rsidRDefault="0000752E" w:rsidP="00105F35">
      <w:pPr>
        <w:pStyle w:val="Heading1"/>
        <w:spacing w:line="360" w:lineRule="auto"/>
        <w:jc w:val="both"/>
        <w:rPr>
          <w:rFonts w:ascii="Arial" w:hAnsi="Arial" w:cs="Arial"/>
          <w:sz w:val="24"/>
          <w:szCs w:val="24"/>
        </w:rPr>
      </w:pPr>
      <w:bookmarkStart w:id="3" w:name="_Toc71549719"/>
      <w:r>
        <w:rPr>
          <w:rFonts w:ascii="Arial" w:hAnsi="Arial" w:cs="Arial"/>
          <w:sz w:val="24"/>
          <w:szCs w:val="24"/>
        </w:rPr>
        <w:t xml:space="preserve">2. </w:t>
      </w:r>
      <w:r w:rsidR="00130D53" w:rsidRPr="00094F59">
        <w:rPr>
          <w:rFonts w:ascii="Arial" w:hAnsi="Arial" w:cs="Arial"/>
          <w:sz w:val="24"/>
          <w:szCs w:val="24"/>
        </w:rPr>
        <w:t>Transgression Description</w:t>
      </w:r>
      <w:bookmarkEnd w:id="3"/>
    </w:p>
    <w:p w:rsidR="00130D53" w:rsidRPr="00094F59" w:rsidRDefault="0000752E" w:rsidP="00105F35">
      <w:pPr>
        <w:pStyle w:val="Heading2"/>
        <w:spacing w:line="360" w:lineRule="auto"/>
        <w:jc w:val="both"/>
        <w:rPr>
          <w:rFonts w:ascii="Arial" w:hAnsi="Arial" w:cs="Arial"/>
          <w:sz w:val="24"/>
          <w:szCs w:val="24"/>
        </w:rPr>
      </w:pPr>
      <w:bookmarkStart w:id="4" w:name="_Toc71549720"/>
      <w:r>
        <w:rPr>
          <w:rFonts w:ascii="Arial" w:hAnsi="Arial" w:cs="Arial"/>
          <w:sz w:val="24"/>
          <w:szCs w:val="24"/>
        </w:rPr>
        <w:t>2.</w:t>
      </w:r>
      <w:r w:rsidR="00094F59" w:rsidRPr="00094F59">
        <w:rPr>
          <w:rFonts w:ascii="Arial" w:hAnsi="Arial" w:cs="Arial"/>
          <w:sz w:val="24"/>
          <w:szCs w:val="24"/>
        </w:rPr>
        <w:t xml:space="preserve">1. </w:t>
      </w:r>
      <w:r w:rsidR="00130D53" w:rsidRPr="00094F59">
        <w:rPr>
          <w:rFonts w:ascii="Arial" w:hAnsi="Arial" w:cs="Arial"/>
          <w:sz w:val="24"/>
          <w:szCs w:val="24"/>
        </w:rPr>
        <w:t>What is Gross insubordination?</w:t>
      </w:r>
      <w:bookmarkEnd w:id="4"/>
    </w:p>
    <w:p w:rsidR="00CB699A" w:rsidRPr="00CB699A" w:rsidRDefault="00CB699A" w:rsidP="00CB699A">
      <w:pPr>
        <w:spacing w:line="360" w:lineRule="auto"/>
        <w:jc w:val="both"/>
        <w:rPr>
          <w:rFonts w:ascii="Arial" w:hAnsi="Arial" w:cs="Arial"/>
          <w:sz w:val="24"/>
          <w:szCs w:val="24"/>
        </w:rPr>
      </w:pPr>
      <w:r>
        <w:rPr>
          <w:rFonts w:ascii="Arial" w:hAnsi="Arial" w:cs="Arial"/>
          <w:sz w:val="24"/>
          <w:szCs w:val="24"/>
        </w:rPr>
        <w:t>Gross</w:t>
      </w:r>
      <w:r w:rsidRPr="00CB699A">
        <w:rPr>
          <w:rFonts w:ascii="Arial" w:hAnsi="Arial" w:cs="Arial"/>
          <w:sz w:val="24"/>
          <w:szCs w:val="24"/>
        </w:rPr>
        <w:t xml:space="preserve"> insubordination is another name for gross misconduct and this is where a worker denies taking a sound, informational order given by an administrator or manager. For it to be gross insubordination, the act must be so genuine that it breaks any belief or certainty between a boss and their employee. Normally, this will warrant summary dismissal. Another term for this is “dismissal without notice”. (Brighthr, 2021)</w:t>
      </w:r>
    </w:p>
    <w:p w:rsidR="00CB699A" w:rsidRPr="00CB699A" w:rsidRDefault="00CB699A" w:rsidP="00CB699A">
      <w:pPr>
        <w:spacing w:line="360" w:lineRule="auto"/>
        <w:jc w:val="both"/>
        <w:rPr>
          <w:rFonts w:ascii="Arial" w:hAnsi="Arial" w:cs="Arial"/>
          <w:sz w:val="24"/>
          <w:szCs w:val="24"/>
        </w:rPr>
      </w:pPr>
      <w:r w:rsidRPr="00CB699A">
        <w:rPr>
          <w:rFonts w:ascii="Arial" w:hAnsi="Arial" w:cs="Arial"/>
          <w:sz w:val="24"/>
          <w:szCs w:val="24"/>
        </w:rPr>
        <w:t>Within the perfect working environment, all staff treats each other with regard. But tragically, each work environment comes with its issues, including representatives who can demonstrate to be troublesome for one reason or another. (Brighthr, 2021)</w:t>
      </w:r>
    </w:p>
    <w:p w:rsidR="00CB699A" w:rsidRPr="00CB699A" w:rsidRDefault="00CB699A" w:rsidP="00CB699A">
      <w:pPr>
        <w:spacing w:line="360" w:lineRule="auto"/>
        <w:jc w:val="both"/>
        <w:rPr>
          <w:rFonts w:ascii="Arial" w:hAnsi="Arial" w:cs="Arial"/>
          <w:sz w:val="24"/>
          <w:szCs w:val="24"/>
        </w:rPr>
      </w:pPr>
      <w:r w:rsidRPr="00CB699A">
        <w:rPr>
          <w:rFonts w:ascii="Arial" w:hAnsi="Arial" w:cs="Arial"/>
          <w:sz w:val="24"/>
          <w:szCs w:val="24"/>
        </w:rPr>
        <w:t>Parikh (2020) maintains that for it to be recognized as insubordination, the behaviour of the employee needs to incorporate one or more of the following – direct, wilful, intentional, and/or calculated challenge to the employer’s authority. To demonstrate insubordination, evidence that highlights the following features needs to be provided:</w:t>
      </w:r>
    </w:p>
    <w:p w:rsidR="00CB699A" w:rsidRPr="00CB699A" w:rsidRDefault="00CB699A" w:rsidP="00CB699A">
      <w:pPr>
        <w:spacing w:line="360" w:lineRule="auto"/>
        <w:jc w:val="both"/>
        <w:rPr>
          <w:rFonts w:ascii="Arial" w:hAnsi="Arial" w:cs="Arial"/>
          <w:sz w:val="24"/>
          <w:szCs w:val="24"/>
        </w:rPr>
      </w:pPr>
      <w:r w:rsidRPr="00CB699A">
        <w:rPr>
          <w:rFonts w:ascii="Arial" w:hAnsi="Arial" w:cs="Arial"/>
          <w:sz w:val="24"/>
          <w:szCs w:val="24"/>
        </w:rPr>
        <w:t>i.</w:t>
      </w:r>
      <w:r w:rsidRPr="00CB699A">
        <w:rPr>
          <w:rFonts w:ascii="Arial" w:hAnsi="Arial" w:cs="Arial"/>
          <w:sz w:val="24"/>
          <w:szCs w:val="24"/>
        </w:rPr>
        <w:tab/>
        <w:t>The employer gave the employee a direct order</w:t>
      </w:r>
    </w:p>
    <w:p w:rsidR="00CB699A" w:rsidRPr="00CB699A" w:rsidRDefault="00CB699A" w:rsidP="00CB699A">
      <w:pPr>
        <w:spacing w:line="360" w:lineRule="auto"/>
        <w:jc w:val="both"/>
        <w:rPr>
          <w:rFonts w:ascii="Arial" w:hAnsi="Arial" w:cs="Arial"/>
          <w:sz w:val="24"/>
          <w:szCs w:val="24"/>
        </w:rPr>
      </w:pPr>
      <w:r w:rsidRPr="00CB699A">
        <w:rPr>
          <w:rFonts w:ascii="Arial" w:hAnsi="Arial" w:cs="Arial"/>
          <w:sz w:val="24"/>
          <w:szCs w:val="24"/>
        </w:rPr>
        <w:t>ii.</w:t>
      </w:r>
      <w:r w:rsidRPr="00CB699A">
        <w:rPr>
          <w:rFonts w:ascii="Arial" w:hAnsi="Arial" w:cs="Arial"/>
          <w:sz w:val="24"/>
          <w:szCs w:val="24"/>
        </w:rPr>
        <w:tab/>
        <w:t>The order was lawful and reasonable in nature</w:t>
      </w:r>
    </w:p>
    <w:p w:rsidR="00CB699A" w:rsidRPr="00CB699A" w:rsidRDefault="00CB699A" w:rsidP="00CB699A">
      <w:pPr>
        <w:spacing w:line="360" w:lineRule="auto"/>
        <w:jc w:val="both"/>
        <w:rPr>
          <w:rFonts w:ascii="Arial" w:hAnsi="Arial" w:cs="Arial"/>
          <w:sz w:val="24"/>
          <w:szCs w:val="24"/>
        </w:rPr>
      </w:pPr>
      <w:r w:rsidRPr="00CB699A">
        <w:rPr>
          <w:rFonts w:ascii="Arial" w:hAnsi="Arial" w:cs="Arial"/>
          <w:sz w:val="24"/>
          <w:szCs w:val="24"/>
        </w:rPr>
        <w:t>iii.</w:t>
      </w:r>
      <w:r w:rsidRPr="00CB699A">
        <w:rPr>
          <w:rFonts w:ascii="Arial" w:hAnsi="Arial" w:cs="Arial"/>
          <w:sz w:val="24"/>
          <w:szCs w:val="24"/>
        </w:rPr>
        <w:tab/>
        <w:t>The reasonableness of the order that was given was understandable and in line with the job description of the employee</w:t>
      </w:r>
    </w:p>
    <w:p w:rsidR="00130D53" w:rsidRDefault="00CB699A" w:rsidP="00CB699A">
      <w:pPr>
        <w:spacing w:line="360" w:lineRule="auto"/>
        <w:jc w:val="both"/>
        <w:rPr>
          <w:rFonts w:ascii="Arial" w:hAnsi="Arial" w:cs="Arial"/>
          <w:sz w:val="24"/>
          <w:szCs w:val="24"/>
        </w:rPr>
      </w:pPr>
      <w:r w:rsidRPr="00CB699A">
        <w:rPr>
          <w:rFonts w:ascii="Arial" w:hAnsi="Arial" w:cs="Arial"/>
          <w:sz w:val="24"/>
          <w:szCs w:val="24"/>
        </w:rPr>
        <w:t>The order itself may take the frame of a verbal mandate, composed informational, the obligations as portrayed in a work depiction, and even an inferred set of obligations where no formal work depiction exists. (Brighthr, 2021)</w:t>
      </w:r>
    </w:p>
    <w:p w:rsidR="00094F59" w:rsidRPr="00CC4A3E" w:rsidRDefault="0000752E" w:rsidP="00105F35">
      <w:pPr>
        <w:pStyle w:val="Heading2"/>
        <w:jc w:val="both"/>
        <w:rPr>
          <w:rFonts w:ascii="Arial" w:hAnsi="Arial" w:cs="Arial"/>
          <w:sz w:val="24"/>
          <w:szCs w:val="24"/>
        </w:rPr>
      </w:pPr>
      <w:bookmarkStart w:id="5" w:name="_Toc71549721"/>
      <w:r>
        <w:rPr>
          <w:rFonts w:ascii="Arial" w:hAnsi="Arial" w:cs="Arial"/>
          <w:sz w:val="24"/>
          <w:szCs w:val="24"/>
        </w:rPr>
        <w:t>2.</w:t>
      </w:r>
      <w:r w:rsidR="00094F59" w:rsidRPr="00CC4A3E">
        <w:rPr>
          <w:rFonts w:ascii="Arial" w:hAnsi="Arial" w:cs="Arial"/>
          <w:sz w:val="24"/>
          <w:szCs w:val="24"/>
        </w:rPr>
        <w:t>2. Gross Insubordination in the Glencore Operations SA v Simon Mohubedu Ranthu labour court case</w:t>
      </w:r>
      <w:bookmarkEnd w:id="5"/>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 xml:space="preserve">According to The South African Labour Guide (2021), when dealing with disciplinary procedures, a few basics need to be acknowledged regarding complaints or </w:t>
      </w:r>
      <w:r w:rsidRPr="009C72DD">
        <w:rPr>
          <w:rFonts w:ascii="Arial" w:hAnsi="Arial" w:cs="Arial"/>
          <w:sz w:val="24"/>
          <w:szCs w:val="24"/>
        </w:rPr>
        <w:lastRenderedPageBreak/>
        <w:t xml:space="preserve">transgressions. In this context, a process of discipline exclusively deals with matters concerning misconduct. </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The transgression description of the court case highlights the following:</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 xml:space="preserve">      (a) Refusal or failure to assume position </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 xml:space="preserve">      (b) Reasonable instructions given </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 xml:space="preserve">      (c) Gross insubordination </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 xml:space="preserve">(Glencore Operations SA v Simon Mohubedu Ranthu (JR 1906/14), 2016:2). </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The dispute arose on the 1st of December 2013 at Glencore Operations SA, Number 39 Melrose Boulevard, 3rd Floor, Worley Building, Melrose Arch, South Africa (Glencore, 2021), and the name of the transgressor was Mr Simon Maripane.</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In the labour court case of Glencore Operations SA v Simon Mohubedu Ranthu (JR 1906/14) (2016: 7), it was held that the offence of gross insubordination was constituted by the fact that the employer (Glencore Operations SA) gave a lawful and reasonable instruction/order and the employee (Mr Maripane) refused to obey that instruction/order in an intentional and serious manner, and it was seen that the employee’s behaviour to some extent presented a wilful and serious challenge to the employer’s authority. (Phala, 2021)</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Phala (2021) states that it is a known general principle that it may very well be expressed, in a court case, that in an event where a rule enacted by the employer is violated or the employee fails to observe this rule or obey the employer’s lawful and reasonable instruction it is regarded as a serious misconduct. The following requirements play a role in proving that the Mr Maripane’s actions demonstrated gross insubordination:</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(a) It was clear that the employer did in fact give an instruction to the employee, and to some extent this instruction was given in three occasions;</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(b) The instruction was, in essence, lawful considering that Glencore Operations SA did advise Mr Maripane that he would cease to be the Full-time Health and Safety Shop Steward (after being informed that he will be replaced) and he was instructed to return to his position in the raw materials department; therefore Mr Maripane was expected to obey this reasonable instruction.</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lastRenderedPageBreak/>
        <w:t>(c) The Arbitrator (Mr S.M. Rantho) found that Mr Maripane had engaged in misconduct by refusing to obey the instruction but found that there was a single offence and that as the Disciplinary Procedure formed part of a collective agreement, the Applicant could not deviate from the Disciplinary Procedure when deciding upon the sanction. (Glencore Operations SA v Simon Mohubedu Ranthu (JR 1906/14), 2016:9)</w:t>
      </w:r>
    </w:p>
    <w:p w:rsidR="009C72DD" w:rsidRPr="009C72DD" w:rsidRDefault="009C72DD" w:rsidP="009C72DD">
      <w:pPr>
        <w:spacing w:line="360" w:lineRule="auto"/>
        <w:jc w:val="both"/>
        <w:rPr>
          <w:rFonts w:ascii="Arial" w:hAnsi="Arial" w:cs="Arial"/>
          <w:sz w:val="24"/>
          <w:szCs w:val="24"/>
        </w:rPr>
      </w:pPr>
      <w:r w:rsidRPr="009C72DD">
        <w:rPr>
          <w:rFonts w:ascii="Arial" w:hAnsi="Arial" w:cs="Arial"/>
          <w:sz w:val="24"/>
          <w:szCs w:val="24"/>
        </w:rPr>
        <w:t>When Mr Maripane refused to accept the change in conditions it constituted uncooperative behaviour. He could have dealt with the matter and resolved it in at least 4 weeks, however by failing to resume his original position as Raw Materials Operator, he became involved in gross insubordination. The instruction given to Mr Maripane by Glencore Operations SA took the form of a verbal directive/written instruction. This instruction was in line with the duties and responsibilities described in the job description (Raw Materials Operator) of Mr Maripane. (Glencore Operations SA v Simon Mohubedu Ranthu (JR 1906/14), 2016:7-8)</w:t>
      </w:r>
    </w:p>
    <w:p w:rsidR="009C72DD" w:rsidRDefault="009C72DD" w:rsidP="009C72DD">
      <w:pPr>
        <w:spacing w:line="360" w:lineRule="auto"/>
        <w:jc w:val="both"/>
        <w:rPr>
          <w:rFonts w:ascii="Arial" w:hAnsi="Arial" w:cs="Arial"/>
          <w:color w:val="00B050"/>
          <w:sz w:val="24"/>
          <w:szCs w:val="24"/>
        </w:rPr>
      </w:pPr>
      <w:r w:rsidRPr="009C72DD">
        <w:rPr>
          <w:rFonts w:ascii="Arial" w:hAnsi="Arial" w:cs="Arial"/>
          <w:sz w:val="24"/>
          <w:szCs w:val="24"/>
        </w:rPr>
        <w:t>This act of gross insubordination caused the employment relationship between Mr Maripane and Glencore Operations SA to deteriorate, and it hindered the usual and well-ordered functioning of the raw materials department.</w:t>
      </w:r>
    </w:p>
    <w:p w:rsidR="00343D57" w:rsidRDefault="00343D57" w:rsidP="00105F35">
      <w:pPr>
        <w:spacing w:line="360" w:lineRule="auto"/>
        <w:jc w:val="both"/>
        <w:rPr>
          <w:rFonts w:ascii="Arial" w:hAnsi="Arial" w:cs="Arial"/>
          <w:sz w:val="24"/>
          <w:szCs w:val="24"/>
        </w:rPr>
      </w:pPr>
    </w:p>
    <w:p w:rsidR="00567E06" w:rsidRPr="009066A2" w:rsidRDefault="0000752E" w:rsidP="00105F35">
      <w:pPr>
        <w:pStyle w:val="Heading1"/>
        <w:spacing w:line="360" w:lineRule="auto"/>
        <w:jc w:val="both"/>
        <w:rPr>
          <w:rFonts w:ascii="Arial" w:hAnsi="Arial" w:cs="Arial"/>
          <w:sz w:val="24"/>
          <w:szCs w:val="24"/>
        </w:rPr>
      </w:pPr>
      <w:bookmarkStart w:id="6" w:name="_Toc71549722"/>
      <w:r>
        <w:rPr>
          <w:rFonts w:ascii="Arial" w:hAnsi="Arial" w:cs="Arial"/>
          <w:sz w:val="24"/>
          <w:szCs w:val="24"/>
        </w:rPr>
        <w:t xml:space="preserve">3. </w:t>
      </w:r>
      <w:r w:rsidR="00567E06" w:rsidRPr="009066A2">
        <w:rPr>
          <w:rFonts w:ascii="Arial" w:hAnsi="Arial" w:cs="Arial"/>
          <w:sz w:val="24"/>
          <w:szCs w:val="24"/>
        </w:rPr>
        <w:t>The role players and the facts of the case</w:t>
      </w:r>
      <w:bookmarkEnd w:id="6"/>
    </w:p>
    <w:p w:rsidR="00FA0CB0" w:rsidRPr="00D825F5" w:rsidRDefault="0000752E" w:rsidP="00D825F5">
      <w:pPr>
        <w:pStyle w:val="Heading2"/>
        <w:rPr>
          <w:rFonts w:ascii="Arial" w:hAnsi="Arial" w:cs="Arial"/>
          <w:sz w:val="24"/>
          <w:szCs w:val="24"/>
        </w:rPr>
      </w:pPr>
      <w:bookmarkStart w:id="7" w:name="_Toc71549723"/>
      <w:r>
        <w:rPr>
          <w:rFonts w:ascii="Arial" w:hAnsi="Arial" w:cs="Arial"/>
          <w:sz w:val="24"/>
          <w:szCs w:val="24"/>
        </w:rPr>
        <w:t xml:space="preserve">3.1. </w:t>
      </w:r>
      <w:r w:rsidR="00FA0CB0" w:rsidRPr="00D825F5">
        <w:rPr>
          <w:rFonts w:ascii="Arial" w:hAnsi="Arial" w:cs="Arial"/>
          <w:sz w:val="24"/>
          <w:szCs w:val="24"/>
        </w:rPr>
        <w:t>Commission for Conciliation, Mediation and Arbitration role players</w:t>
      </w:r>
      <w:bookmarkEnd w:id="7"/>
    </w:p>
    <w:p w:rsidR="004D7972" w:rsidRPr="004D7972" w:rsidRDefault="00FA0CB0" w:rsidP="004D7972">
      <w:pPr>
        <w:pStyle w:val="ListParagraph"/>
        <w:numPr>
          <w:ilvl w:val="0"/>
          <w:numId w:val="2"/>
        </w:numPr>
        <w:spacing w:line="360" w:lineRule="auto"/>
        <w:jc w:val="both"/>
        <w:rPr>
          <w:rFonts w:ascii="Arial" w:hAnsi="Arial" w:cs="Arial"/>
          <w:sz w:val="24"/>
          <w:szCs w:val="24"/>
        </w:rPr>
      </w:pPr>
      <w:r w:rsidRPr="00FA0CB0">
        <w:rPr>
          <w:rFonts w:ascii="Arial" w:hAnsi="Arial" w:cs="Arial"/>
          <w:sz w:val="24"/>
          <w:szCs w:val="24"/>
        </w:rPr>
        <w:t xml:space="preserve">Commissioner/Arbitrator </w:t>
      </w:r>
      <w:r w:rsidR="004D7972" w:rsidRPr="004D7972">
        <w:rPr>
          <w:rFonts w:ascii="Arial" w:hAnsi="Arial" w:cs="Arial"/>
          <w:sz w:val="24"/>
          <w:szCs w:val="24"/>
        </w:rPr>
        <w:t>(Simon Mohubedu Rantho) third respondent. An appointed person to review the processes on how the case was handled and if they followed the correct or lawful processes, and has the power to advise for a review if the protocol was not followed (Barber, 2012).</w:t>
      </w:r>
    </w:p>
    <w:p w:rsidR="004D7972" w:rsidRPr="004D7972" w:rsidRDefault="004D7972" w:rsidP="004D7972">
      <w:pPr>
        <w:pStyle w:val="ListParagraph"/>
        <w:numPr>
          <w:ilvl w:val="0"/>
          <w:numId w:val="2"/>
        </w:numPr>
        <w:spacing w:line="360" w:lineRule="auto"/>
        <w:jc w:val="both"/>
        <w:rPr>
          <w:rFonts w:ascii="Arial" w:hAnsi="Arial" w:cs="Arial"/>
          <w:sz w:val="24"/>
          <w:szCs w:val="24"/>
        </w:rPr>
      </w:pPr>
      <w:r w:rsidRPr="004D7972">
        <w:rPr>
          <w:rFonts w:ascii="Arial" w:hAnsi="Arial" w:cs="Arial"/>
          <w:sz w:val="24"/>
          <w:szCs w:val="24"/>
        </w:rPr>
        <w:t>Acting Judge: R.A.L. Harper, oversee the labour court’s rulings or judgements, hence he or she attached the signature of approval (Conley, O'Barr, &amp; Riner, 2019).</w:t>
      </w:r>
    </w:p>
    <w:p w:rsidR="004D7972" w:rsidRPr="004D7972" w:rsidRDefault="004D7972" w:rsidP="00AC0161">
      <w:pPr>
        <w:pStyle w:val="ListParagraph"/>
        <w:numPr>
          <w:ilvl w:val="0"/>
          <w:numId w:val="2"/>
        </w:numPr>
        <w:spacing w:line="360" w:lineRule="auto"/>
        <w:jc w:val="both"/>
        <w:rPr>
          <w:rFonts w:ascii="Arial" w:hAnsi="Arial" w:cs="Arial"/>
          <w:sz w:val="24"/>
          <w:szCs w:val="24"/>
        </w:rPr>
      </w:pPr>
      <w:r w:rsidRPr="004D7972">
        <w:rPr>
          <w:rFonts w:ascii="Arial" w:hAnsi="Arial" w:cs="Arial"/>
          <w:sz w:val="24"/>
          <w:szCs w:val="24"/>
        </w:rPr>
        <w:t>Transgressor: (Mr Simon Maripane) an accused person, or defendant (</w:t>
      </w:r>
      <w:r w:rsidR="00AC0161">
        <w:rPr>
          <w:rFonts w:ascii="Arial" w:hAnsi="Arial" w:cs="Arial"/>
          <w:sz w:val="24"/>
          <w:szCs w:val="24"/>
        </w:rPr>
        <w:t xml:space="preserve">Knight, </w:t>
      </w:r>
      <w:r w:rsidR="00AC0161" w:rsidRPr="00AC0161">
        <w:rPr>
          <w:rFonts w:ascii="Arial" w:hAnsi="Arial" w:cs="Arial"/>
          <w:sz w:val="24"/>
          <w:szCs w:val="24"/>
        </w:rPr>
        <w:t>2018</w:t>
      </w:r>
      <w:r w:rsidR="00AC0161">
        <w:rPr>
          <w:rFonts w:ascii="Arial" w:hAnsi="Arial" w:cs="Arial"/>
          <w:sz w:val="24"/>
          <w:szCs w:val="24"/>
        </w:rPr>
        <w:t>:</w:t>
      </w:r>
      <w:r w:rsidR="006D5F9D">
        <w:rPr>
          <w:rFonts w:ascii="Arial" w:hAnsi="Arial" w:cs="Arial"/>
          <w:sz w:val="24"/>
          <w:szCs w:val="24"/>
        </w:rPr>
        <w:t>475</w:t>
      </w:r>
      <w:r w:rsidRPr="004D7972">
        <w:rPr>
          <w:rFonts w:ascii="Arial" w:hAnsi="Arial" w:cs="Arial"/>
          <w:sz w:val="24"/>
          <w:szCs w:val="24"/>
        </w:rPr>
        <w:t>).</w:t>
      </w:r>
    </w:p>
    <w:p w:rsidR="004D7972" w:rsidRPr="004D7972" w:rsidRDefault="004D7972" w:rsidP="004D7972">
      <w:pPr>
        <w:pStyle w:val="ListParagraph"/>
        <w:numPr>
          <w:ilvl w:val="0"/>
          <w:numId w:val="2"/>
        </w:numPr>
        <w:spacing w:line="360" w:lineRule="auto"/>
        <w:jc w:val="both"/>
        <w:rPr>
          <w:rFonts w:ascii="Arial" w:hAnsi="Arial" w:cs="Arial"/>
          <w:sz w:val="24"/>
          <w:szCs w:val="24"/>
        </w:rPr>
      </w:pPr>
      <w:r w:rsidRPr="004D7972">
        <w:rPr>
          <w:rFonts w:ascii="Arial" w:hAnsi="Arial" w:cs="Arial"/>
          <w:sz w:val="24"/>
          <w:szCs w:val="24"/>
        </w:rPr>
        <w:t xml:space="preserve">Representative: (NUM- First Respondent) can be a UNION representative or anyone related to an accused person and can appear on half of the Transgressor, in order to protect his rights and make sure that the hearing proceedings are run in a fair manner. In this matter, NUM appointed Mr D. </w:t>
      </w:r>
      <w:r w:rsidRPr="004D7972">
        <w:rPr>
          <w:rFonts w:ascii="Arial" w:hAnsi="Arial" w:cs="Arial"/>
          <w:sz w:val="24"/>
          <w:szCs w:val="24"/>
        </w:rPr>
        <w:lastRenderedPageBreak/>
        <w:t>Masher and Mr E S Makint</w:t>
      </w:r>
      <w:r w:rsidR="00663E28">
        <w:rPr>
          <w:rFonts w:ascii="Arial" w:hAnsi="Arial" w:cs="Arial"/>
          <w:sz w:val="24"/>
          <w:szCs w:val="24"/>
        </w:rPr>
        <w:t>a from Edward Nathan Sonnenberg</w:t>
      </w:r>
      <w:r w:rsidRPr="004D7972">
        <w:rPr>
          <w:rFonts w:ascii="Arial" w:hAnsi="Arial" w:cs="Arial"/>
          <w:sz w:val="24"/>
          <w:szCs w:val="24"/>
        </w:rPr>
        <w:t>s</w:t>
      </w:r>
      <w:r w:rsidR="00663E28">
        <w:rPr>
          <w:rFonts w:ascii="Arial" w:hAnsi="Arial" w:cs="Arial"/>
          <w:sz w:val="24"/>
          <w:szCs w:val="24"/>
        </w:rPr>
        <w:t>’</w:t>
      </w:r>
      <w:r w:rsidRPr="004D7972">
        <w:rPr>
          <w:rFonts w:ascii="Arial" w:hAnsi="Arial" w:cs="Arial"/>
          <w:sz w:val="24"/>
          <w:szCs w:val="24"/>
        </w:rPr>
        <w:t xml:space="preserve"> firm as first representative (Conley et al., 2019).</w:t>
      </w:r>
    </w:p>
    <w:p w:rsidR="004D7972" w:rsidRDefault="004D7972" w:rsidP="00C30297">
      <w:pPr>
        <w:pStyle w:val="ListParagraph"/>
        <w:numPr>
          <w:ilvl w:val="0"/>
          <w:numId w:val="2"/>
        </w:numPr>
        <w:spacing w:line="360" w:lineRule="auto"/>
        <w:jc w:val="both"/>
        <w:rPr>
          <w:rFonts w:ascii="Arial" w:hAnsi="Arial" w:cs="Arial"/>
          <w:sz w:val="24"/>
          <w:szCs w:val="24"/>
        </w:rPr>
      </w:pPr>
      <w:r w:rsidRPr="004D7972">
        <w:rPr>
          <w:rFonts w:ascii="Arial" w:hAnsi="Arial" w:cs="Arial"/>
          <w:sz w:val="24"/>
          <w:szCs w:val="24"/>
        </w:rPr>
        <w:t>Witness: (Ms Colleen Tema) a witness is someone who has knowledge about a matter, whether they have seen it</w:t>
      </w:r>
      <w:r w:rsidR="0042769E">
        <w:rPr>
          <w:rFonts w:ascii="Arial" w:hAnsi="Arial" w:cs="Arial"/>
          <w:sz w:val="24"/>
          <w:szCs w:val="24"/>
        </w:rPr>
        <w:t xml:space="preserve"> or took part within it. A</w:t>
      </w:r>
      <w:r w:rsidRPr="004D7972">
        <w:rPr>
          <w:rFonts w:ascii="Arial" w:hAnsi="Arial" w:cs="Arial"/>
          <w:sz w:val="24"/>
          <w:szCs w:val="24"/>
        </w:rPr>
        <w:t xml:space="preserve"> witness</w:t>
      </w:r>
      <w:r w:rsidR="0042769E">
        <w:rPr>
          <w:rFonts w:ascii="Arial" w:hAnsi="Arial" w:cs="Arial"/>
          <w:sz w:val="24"/>
          <w:szCs w:val="24"/>
        </w:rPr>
        <w:t xml:space="preserve"> </w:t>
      </w:r>
      <w:r w:rsidRPr="004D7972">
        <w:rPr>
          <w:rFonts w:ascii="Arial" w:hAnsi="Arial" w:cs="Arial"/>
          <w:sz w:val="24"/>
          <w:szCs w:val="24"/>
        </w:rPr>
        <w:t>who has already given testimony in a proceeding</w:t>
      </w:r>
      <w:r w:rsidR="0042769E">
        <w:rPr>
          <w:rFonts w:ascii="Arial" w:hAnsi="Arial" w:cs="Arial"/>
          <w:sz w:val="24"/>
          <w:szCs w:val="24"/>
        </w:rPr>
        <w:t xml:space="preserve"> can be recalled</w:t>
      </w:r>
      <w:r w:rsidRPr="004D7972">
        <w:rPr>
          <w:rFonts w:ascii="Arial" w:hAnsi="Arial" w:cs="Arial"/>
          <w:sz w:val="24"/>
          <w:szCs w:val="24"/>
        </w:rPr>
        <w:t xml:space="preserve"> </w:t>
      </w:r>
      <w:r w:rsidR="0042769E">
        <w:rPr>
          <w:rFonts w:ascii="Arial" w:hAnsi="Arial" w:cs="Arial"/>
          <w:sz w:val="24"/>
          <w:szCs w:val="24"/>
        </w:rPr>
        <w:t>to give further testimony</w:t>
      </w:r>
      <w:r w:rsidR="00A830DE">
        <w:rPr>
          <w:rFonts w:ascii="Arial" w:hAnsi="Arial" w:cs="Arial"/>
          <w:sz w:val="24"/>
          <w:szCs w:val="24"/>
        </w:rPr>
        <w:t>.</w:t>
      </w:r>
      <w:r w:rsidR="0042769E">
        <w:rPr>
          <w:rFonts w:ascii="Arial" w:hAnsi="Arial" w:cs="Arial"/>
          <w:sz w:val="24"/>
          <w:szCs w:val="24"/>
        </w:rPr>
        <w:t xml:space="preserve"> (</w:t>
      </w:r>
      <w:r w:rsidR="00C30297" w:rsidRPr="00C30297">
        <w:rPr>
          <w:rFonts w:ascii="Arial" w:hAnsi="Arial" w:cs="Arial"/>
          <w:sz w:val="24"/>
          <w:szCs w:val="24"/>
        </w:rPr>
        <w:t>The Peopl</w:t>
      </w:r>
      <w:r w:rsidR="00C30297">
        <w:rPr>
          <w:rFonts w:ascii="Arial" w:hAnsi="Arial" w:cs="Arial"/>
          <w:sz w:val="24"/>
          <w:szCs w:val="24"/>
        </w:rPr>
        <w:t xml:space="preserve">e's Law Dictionary, </w:t>
      </w:r>
      <w:r w:rsidR="00C30297" w:rsidRPr="00C30297">
        <w:rPr>
          <w:rFonts w:ascii="Arial" w:hAnsi="Arial" w:cs="Arial"/>
          <w:sz w:val="24"/>
          <w:szCs w:val="24"/>
        </w:rPr>
        <w:t>2005</w:t>
      </w:r>
      <w:r w:rsidR="00A830DE">
        <w:rPr>
          <w:rFonts w:ascii="Arial" w:hAnsi="Arial" w:cs="Arial"/>
          <w:sz w:val="24"/>
          <w:szCs w:val="24"/>
        </w:rPr>
        <w:t>)</w:t>
      </w:r>
    </w:p>
    <w:p w:rsidR="004D7972" w:rsidRDefault="004D7972" w:rsidP="004D7972">
      <w:pPr>
        <w:spacing w:line="360" w:lineRule="auto"/>
        <w:jc w:val="both"/>
        <w:rPr>
          <w:rFonts w:ascii="Arial" w:hAnsi="Arial" w:cs="Arial"/>
          <w:sz w:val="24"/>
          <w:szCs w:val="24"/>
        </w:rPr>
      </w:pPr>
    </w:p>
    <w:p w:rsidR="00C3415D" w:rsidRPr="003E14C7" w:rsidRDefault="0000752E" w:rsidP="003E14C7">
      <w:pPr>
        <w:pStyle w:val="Heading2"/>
        <w:rPr>
          <w:rFonts w:ascii="Arial" w:hAnsi="Arial" w:cs="Arial"/>
          <w:sz w:val="24"/>
          <w:szCs w:val="24"/>
        </w:rPr>
      </w:pPr>
      <w:bookmarkStart w:id="8" w:name="_Toc71549724"/>
      <w:r w:rsidRPr="003E14C7">
        <w:rPr>
          <w:rFonts w:ascii="Arial" w:hAnsi="Arial" w:cs="Arial"/>
          <w:sz w:val="24"/>
          <w:szCs w:val="24"/>
        </w:rPr>
        <w:t>3.2</w:t>
      </w:r>
      <w:r w:rsidR="0017611A" w:rsidRPr="003E14C7">
        <w:rPr>
          <w:rFonts w:ascii="Arial" w:hAnsi="Arial" w:cs="Arial"/>
          <w:sz w:val="24"/>
          <w:szCs w:val="24"/>
        </w:rPr>
        <w:t xml:space="preserve">. </w:t>
      </w:r>
      <w:r w:rsidR="001A7575" w:rsidRPr="003E14C7">
        <w:rPr>
          <w:rFonts w:ascii="Arial" w:hAnsi="Arial" w:cs="Arial"/>
          <w:sz w:val="24"/>
          <w:szCs w:val="24"/>
        </w:rPr>
        <w:t>The facts of the case</w:t>
      </w:r>
      <w:bookmarkEnd w:id="8"/>
    </w:p>
    <w:p w:rsidR="00D570A4" w:rsidRPr="00D570A4" w:rsidRDefault="00D570A4" w:rsidP="00D570A4">
      <w:pPr>
        <w:spacing w:line="360" w:lineRule="auto"/>
        <w:jc w:val="both"/>
        <w:rPr>
          <w:rFonts w:ascii="Arial" w:hAnsi="Arial" w:cs="Arial"/>
          <w:sz w:val="24"/>
          <w:szCs w:val="24"/>
        </w:rPr>
      </w:pPr>
      <w:r w:rsidRPr="00D570A4">
        <w:rPr>
          <w:rFonts w:ascii="Arial" w:hAnsi="Arial" w:cs="Arial"/>
          <w:sz w:val="24"/>
          <w:szCs w:val="24"/>
        </w:rPr>
        <w:t>Glencore Operations South Africa (Pty) Ltd (Lion Ferrochrome) is an employer of the first respondent (Mr Simon Maripane).  Mr Simon Maripane is permanently appointed as Raw Material Operator by the Company. The organized labour within the Organization representing the majority of employees is the National Union of Mineworkers (NUM). During 2012 the employer and the National Union of Mineworkers (NUM) entered into a Health and Safety agreement which stipulated that a full-time health and safety shop steward would be appointed by NUM at the Employer premises. The organized labour has a collective agreement to facilitate the election of Health and Safety Shop Steward for a period of three (03) years by members through voting.  An elected official will sign a contract and upon expiry of the contract, the employee goes back to the original position of employment with the employer. (Glencore Operations SA v Simon Mohubedu Ranthu (JR 1906/14), 2016:6-7)</w:t>
      </w:r>
    </w:p>
    <w:p w:rsidR="00D570A4" w:rsidRPr="00D570A4" w:rsidRDefault="00D570A4" w:rsidP="00D570A4">
      <w:pPr>
        <w:spacing w:line="360" w:lineRule="auto"/>
        <w:jc w:val="both"/>
        <w:rPr>
          <w:rFonts w:ascii="Arial" w:hAnsi="Arial" w:cs="Arial"/>
          <w:sz w:val="24"/>
          <w:szCs w:val="24"/>
        </w:rPr>
      </w:pPr>
      <w:r w:rsidRPr="00D570A4">
        <w:rPr>
          <w:rFonts w:ascii="Arial" w:hAnsi="Arial" w:cs="Arial"/>
          <w:sz w:val="24"/>
          <w:szCs w:val="24"/>
        </w:rPr>
        <w:t>First responded Mr Simon Maripane was elected in 2012 as full-time Health and Safety Shop Steward which he served only for one year period. In September 2013 another election was held to replace him and was entitled to participate in the elections.  He was duly advised of his replacement by his trade union (NUM) on 26 September 2013. (Glencore Operations SA v Simon Mohubedu Ranthu (JR 1906/14), 2016:6-7)</w:t>
      </w:r>
    </w:p>
    <w:p w:rsidR="00D570A4" w:rsidRPr="00D570A4" w:rsidRDefault="00D570A4" w:rsidP="00D570A4">
      <w:pPr>
        <w:spacing w:line="360" w:lineRule="auto"/>
        <w:jc w:val="both"/>
        <w:rPr>
          <w:rFonts w:ascii="Arial" w:hAnsi="Arial" w:cs="Arial"/>
          <w:sz w:val="24"/>
          <w:szCs w:val="24"/>
        </w:rPr>
      </w:pPr>
      <w:r w:rsidRPr="00D570A4">
        <w:rPr>
          <w:rFonts w:ascii="Arial" w:hAnsi="Arial" w:cs="Arial"/>
          <w:sz w:val="24"/>
          <w:szCs w:val="24"/>
        </w:rPr>
        <w:t>The employer requested Mr Simon Maripane to return to his permanent position as Raw Material Operator for three (03) occasions by 31 December 2013 which he failed. Applicant advised the first respondent that his behaviour or refusing to obey the employer’s instructions result in gross negligence as per the signed contract of employment. (Glencore Operations SA v Simon Mohubedu Ranthu (JR 1906/14), 2016:6-10)</w:t>
      </w:r>
    </w:p>
    <w:p w:rsidR="00D570A4" w:rsidRPr="00D570A4" w:rsidRDefault="00D570A4" w:rsidP="00D570A4">
      <w:pPr>
        <w:spacing w:line="360" w:lineRule="auto"/>
        <w:jc w:val="both"/>
        <w:rPr>
          <w:rFonts w:ascii="Arial" w:hAnsi="Arial" w:cs="Arial"/>
          <w:sz w:val="24"/>
          <w:szCs w:val="24"/>
        </w:rPr>
      </w:pPr>
      <w:r w:rsidRPr="00D570A4">
        <w:rPr>
          <w:rFonts w:ascii="Arial" w:hAnsi="Arial" w:cs="Arial"/>
          <w:sz w:val="24"/>
          <w:szCs w:val="24"/>
        </w:rPr>
        <w:lastRenderedPageBreak/>
        <w:t>Internal disciplinary processes were held and the employee was dismissed on 07 February 2014 for gross insubordination after he failed to obey instructions of the employer for three (03) occasions to return to his permanent position. (Glencore Operations SA v Simon Mohubedu Ranthu (JR 1906/14), 2016:8)</w:t>
      </w:r>
    </w:p>
    <w:p w:rsidR="00D570A4" w:rsidRPr="00D570A4" w:rsidRDefault="00D570A4" w:rsidP="00D570A4">
      <w:pPr>
        <w:spacing w:line="360" w:lineRule="auto"/>
        <w:jc w:val="both"/>
        <w:rPr>
          <w:rFonts w:ascii="Arial" w:hAnsi="Arial" w:cs="Arial"/>
          <w:sz w:val="24"/>
          <w:szCs w:val="24"/>
        </w:rPr>
      </w:pPr>
      <w:r w:rsidRPr="00D570A4">
        <w:rPr>
          <w:rFonts w:ascii="Arial" w:hAnsi="Arial" w:cs="Arial"/>
          <w:sz w:val="24"/>
          <w:szCs w:val="24"/>
        </w:rPr>
        <w:t>Mr Simon Maripane was dissatisfied and referred his matter to Commission for Conciliation Mediation and Arbitration (CCMA). Commissioner was appointed to the case and ruled in his favour that dismissal was substantively unfair, reinstated the First Respondent as from the date of the dismissal, being 7 February 2014, replaced the dismissal with a final written warning operative for 12 (twelve) months from the date of the issuing of the warning and awarded the First Respondent “back pay” in the amount of R 60, 296.04, being the equivalent of 7 (seven) months’ remuneration. (Glencore Operations SA v Simon Mohubedu Ranthu (JR 1906/14), 2016:3-9)</w:t>
      </w:r>
    </w:p>
    <w:p w:rsidR="00D570A4" w:rsidRPr="00D570A4" w:rsidRDefault="00D570A4" w:rsidP="00D570A4">
      <w:pPr>
        <w:spacing w:line="360" w:lineRule="auto"/>
        <w:jc w:val="both"/>
        <w:rPr>
          <w:rFonts w:ascii="Arial" w:hAnsi="Arial" w:cs="Arial"/>
          <w:sz w:val="24"/>
          <w:szCs w:val="24"/>
        </w:rPr>
      </w:pPr>
      <w:r w:rsidRPr="00D570A4">
        <w:rPr>
          <w:rFonts w:ascii="Arial" w:hAnsi="Arial" w:cs="Arial"/>
          <w:sz w:val="24"/>
          <w:szCs w:val="24"/>
        </w:rPr>
        <w:t>The Applicant, Glencore Operations South Africa (PTY) Ltd (Lion Ferrochrome) applied for a review of the matter at Labour Court, seeks that they must set aside the award of the Arbitrator and requests that the Labour Court should find that the dismissal was the appropriate sanction in the circumstances. (Glencore Operations SA v Simon Mohubedu Ranthu (JR 1906/14), 2016:3)</w:t>
      </w:r>
    </w:p>
    <w:p w:rsidR="00E66107" w:rsidRDefault="00D570A4" w:rsidP="00D570A4">
      <w:pPr>
        <w:spacing w:line="360" w:lineRule="auto"/>
        <w:jc w:val="both"/>
        <w:rPr>
          <w:rFonts w:ascii="Arial" w:hAnsi="Arial" w:cs="Arial"/>
          <w:sz w:val="24"/>
          <w:szCs w:val="24"/>
        </w:rPr>
      </w:pPr>
      <w:r w:rsidRPr="00D570A4">
        <w:rPr>
          <w:rFonts w:ascii="Arial" w:hAnsi="Arial" w:cs="Arial"/>
          <w:sz w:val="24"/>
          <w:szCs w:val="24"/>
        </w:rPr>
        <w:t>Labour Court reviewed the decision of the CCMA and found that the employer dismissal sanctions were appropriate and ruled in favour of the Applicant (Glencore Operations South Africa (Pty) Ltd (Lion Ferrochrome) that Mr Simon Maripane must be dismissed as he failed to obey the instructions of the employer. (Glencore Operations SA v Simon Mohubedu Ranthu (JR 1906/14), 2016:14)</w:t>
      </w:r>
    </w:p>
    <w:p w:rsidR="004D65F1" w:rsidRDefault="004D65F1" w:rsidP="00105F35">
      <w:pPr>
        <w:pStyle w:val="Heading1"/>
        <w:spacing w:line="360" w:lineRule="auto"/>
        <w:jc w:val="both"/>
        <w:rPr>
          <w:rFonts w:ascii="Arial" w:hAnsi="Arial" w:cs="Arial"/>
          <w:sz w:val="24"/>
          <w:szCs w:val="24"/>
        </w:rPr>
      </w:pPr>
    </w:p>
    <w:p w:rsidR="00D92FCC" w:rsidRPr="0017611A" w:rsidRDefault="0000752E" w:rsidP="00105F35">
      <w:pPr>
        <w:pStyle w:val="Heading1"/>
        <w:spacing w:line="360" w:lineRule="auto"/>
        <w:jc w:val="both"/>
        <w:rPr>
          <w:rFonts w:ascii="Arial" w:hAnsi="Arial" w:cs="Arial"/>
          <w:sz w:val="24"/>
          <w:szCs w:val="24"/>
        </w:rPr>
      </w:pPr>
      <w:bookmarkStart w:id="9" w:name="_Toc71549725"/>
      <w:r>
        <w:rPr>
          <w:rFonts w:ascii="Arial" w:hAnsi="Arial" w:cs="Arial"/>
          <w:sz w:val="24"/>
          <w:szCs w:val="24"/>
        </w:rPr>
        <w:t xml:space="preserve">4. </w:t>
      </w:r>
      <w:r w:rsidR="00E66107" w:rsidRPr="0017611A">
        <w:rPr>
          <w:rFonts w:ascii="Arial" w:hAnsi="Arial" w:cs="Arial"/>
          <w:sz w:val="24"/>
          <w:szCs w:val="24"/>
        </w:rPr>
        <w:t>Mitigating factors</w:t>
      </w:r>
      <w:bookmarkEnd w:id="9"/>
    </w:p>
    <w:p w:rsidR="002F6F6E" w:rsidRPr="002F6F6E" w:rsidRDefault="00B71E5B" w:rsidP="002F6F6E">
      <w:pPr>
        <w:spacing w:line="360" w:lineRule="auto"/>
        <w:jc w:val="both"/>
        <w:rPr>
          <w:rFonts w:ascii="Arial" w:hAnsi="Arial" w:cs="Arial"/>
          <w:sz w:val="24"/>
          <w:szCs w:val="24"/>
        </w:rPr>
      </w:pPr>
      <w:r w:rsidRPr="00B71E5B">
        <w:rPr>
          <w:rFonts w:ascii="Arial" w:hAnsi="Arial" w:cs="Arial"/>
          <w:sz w:val="24"/>
          <w:szCs w:val="24"/>
        </w:rPr>
        <w:t xml:space="preserve">Mitigating </w:t>
      </w:r>
      <w:r w:rsidR="002F6F6E" w:rsidRPr="002F6F6E">
        <w:rPr>
          <w:rFonts w:ascii="Arial" w:hAnsi="Arial" w:cs="Arial"/>
          <w:sz w:val="24"/>
          <w:szCs w:val="24"/>
        </w:rPr>
        <w:t>factors are those connected to the commission of the offense, the defendant, or the victim which the sentencing court considers as meriting a lesser penalty. There are numerous mitigating factors and much case authority in relation to them. (Legal Services Commission of South Africa, 2021)</w:t>
      </w:r>
      <w:r w:rsidR="00706420">
        <w:rPr>
          <w:rFonts w:ascii="Arial" w:hAnsi="Arial" w:cs="Arial"/>
          <w:sz w:val="24"/>
          <w:szCs w:val="24"/>
        </w:rPr>
        <w:t>.</w:t>
      </w:r>
      <w:r w:rsidR="002F6F6E" w:rsidRPr="002F6F6E">
        <w:rPr>
          <w:rFonts w:ascii="Arial" w:hAnsi="Arial" w:cs="Arial"/>
          <w:sz w:val="24"/>
          <w:szCs w:val="24"/>
        </w:rPr>
        <w:t xml:space="preserve"> This in essence means once a defendant has been convicted or found guilty, they will look for means and ways to get a minimized prison sentence/lenient punishment and exploring all the factors that make it acceptable for the court to be lenient in carrying out the sentence/ </w:t>
      </w:r>
      <w:r w:rsidR="002F6F6E" w:rsidRPr="002F6F6E">
        <w:rPr>
          <w:rFonts w:ascii="Arial" w:hAnsi="Arial" w:cs="Arial"/>
          <w:sz w:val="24"/>
          <w:szCs w:val="24"/>
        </w:rPr>
        <w:lastRenderedPageBreak/>
        <w:t>punishment. In the case of Glencore Operations SA v Simon Mohubedu Ranthu (JR 1906-14), CCMA, and Simon Mohubedu Ranthu, a number of factors have to be looked at as the final judgement is that the defendant is dismissed from his employment. (Glencore Operations SA v Simon Mohubedu Ranthu (JR 1906/14), 2016</w:t>
      </w:r>
      <w:r w:rsidR="00710952">
        <w:rPr>
          <w:rFonts w:ascii="Arial" w:hAnsi="Arial" w:cs="Arial"/>
          <w:sz w:val="24"/>
          <w:szCs w:val="24"/>
        </w:rPr>
        <w:t>:10</w:t>
      </w:r>
      <w:r w:rsidR="002F6F6E" w:rsidRPr="002F6F6E">
        <w:rPr>
          <w:rFonts w:ascii="Arial" w:hAnsi="Arial" w:cs="Arial"/>
          <w:sz w:val="24"/>
          <w:szCs w:val="24"/>
        </w:rPr>
        <w:t>)</w:t>
      </w:r>
    </w:p>
    <w:p w:rsidR="002F6F6E" w:rsidRPr="002F6F6E" w:rsidRDefault="002F6F6E" w:rsidP="002F6F6E">
      <w:pPr>
        <w:spacing w:line="360" w:lineRule="auto"/>
        <w:jc w:val="both"/>
        <w:rPr>
          <w:rFonts w:ascii="Arial" w:hAnsi="Arial" w:cs="Arial"/>
          <w:sz w:val="24"/>
          <w:szCs w:val="24"/>
        </w:rPr>
      </w:pPr>
      <w:r w:rsidRPr="002F6F6E">
        <w:rPr>
          <w:rFonts w:ascii="Arial" w:hAnsi="Arial" w:cs="Arial"/>
          <w:sz w:val="24"/>
          <w:szCs w:val="24"/>
        </w:rPr>
        <w:t xml:space="preserve">The mitigating circumstances can include the size of the family the employee is supporting, the pressure exerted on the employee at the same time of the misconduct, the employee's work record, length of service, provocation, a show of genuine remorse, and other personal and work-related circumstances. Apart from taking the drastic measure of deciding on dismissal, the court could have looked at a number of other mitigating factors as the defendant acted in the manner he did because of a grievance he had with his union. In such an instance, unpaid leave could have been explored which would have given the defendant time to resolve his issues with his union so that he returns to his workplace in the right </w:t>
      </w:r>
      <w:r w:rsidR="004F7E99" w:rsidRPr="002F6F6E">
        <w:rPr>
          <w:rFonts w:ascii="Arial" w:hAnsi="Arial" w:cs="Arial"/>
          <w:sz w:val="24"/>
          <w:szCs w:val="24"/>
        </w:rPr>
        <w:t>mind-set</w:t>
      </w:r>
      <w:r w:rsidRPr="002F6F6E">
        <w:rPr>
          <w:rFonts w:ascii="Arial" w:hAnsi="Arial" w:cs="Arial"/>
          <w:sz w:val="24"/>
          <w:szCs w:val="24"/>
        </w:rPr>
        <w:t xml:space="preserve"> which will allow him to carry out his duties to the best of his abilities. </w:t>
      </w:r>
    </w:p>
    <w:p w:rsidR="00886B91" w:rsidRDefault="002F6F6E" w:rsidP="002F6F6E">
      <w:pPr>
        <w:spacing w:line="360" w:lineRule="auto"/>
        <w:jc w:val="both"/>
        <w:rPr>
          <w:rFonts w:ascii="Arial" w:hAnsi="Arial" w:cs="Arial"/>
          <w:sz w:val="24"/>
          <w:szCs w:val="24"/>
        </w:rPr>
      </w:pPr>
      <w:r w:rsidRPr="002F6F6E">
        <w:rPr>
          <w:rFonts w:ascii="Arial" w:hAnsi="Arial" w:cs="Arial"/>
          <w:sz w:val="24"/>
          <w:szCs w:val="24"/>
        </w:rPr>
        <w:t xml:space="preserve">On the part of Glencore Operations SA, it had to consider its own mitigations whereas they had to look at what best fits their own mitigation standards and come to a conclusion that best fits their organization. Any organization, in essence, seeks to maximize its profits and maintain a business structure that has grown, and any hindrance to such an aim would entail the organization has to do what it deems fit and in this case, it was best fitting to dismiss Mr Maripane as he did not contribute to production as expected of him. Hence the conclusion to dismiss Mr Maripane. </w:t>
      </w:r>
    </w:p>
    <w:p w:rsidR="00FF1E92" w:rsidRDefault="00FF1E92" w:rsidP="00105F35">
      <w:pPr>
        <w:spacing w:line="360" w:lineRule="auto"/>
        <w:jc w:val="both"/>
        <w:rPr>
          <w:rFonts w:ascii="Arial" w:hAnsi="Arial" w:cs="Arial"/>
          <w:sz w:val="24"/>
          <w:szCs w:val="24"/>
        </w:rPr>
      </w:pPr>
    </w:p>
    <w:p w:rsidR="00CC4E53" w:rsidRPr="00094F59" w:rsidRDefault="0000752E" w:rsidP="00105F35">
      <w:pPr>
        <w:pStyle w:val="Heading1"/>
        <w:spacing w:line="360" w:lineRule="auto"/>
        <w:jc w:val="both"/>
        <w:rPr>
          <w:rFonts w:ascii="Arial" w:hAnsi="Arial" w:cs="Arial"/>
          <w:sz w:val="24"/>
          <w:szCs w:val="24"/>
        </w:rPr>
      </w:pPr>
      <w:bookmarkStart w:id="10" w:name="_Toc71549726"/>
      <w:r>
        <w:rPr>
          <w:rFonts w:ascii="Arial" w:hAnsi="Arial" w:cs="Arial"/>
          <w:sz w:val="24"/>
          <w:szCs w:val="24"/>
        </w:rPr>
        <w:t xml:space="preserve">5. </w:t>
      </w:r>
      <w:r w:rsidR="00CC4E53" w:rsidRPr="00094F59">
        <w:rPr>
          <w:rFonts w:ascii="Arial" w:hAnsi="Arial" w:cs="Arial"/>
          <w:sz w:val="24"/>
          <w:szCs w:val="24"/>
        </w:rPr>
        <w:t>Conclusion</w:t>
      </w:r>
      <w:bookmarkEnd w:id="10"/>
    </w:p>
    <w:p w:rsidR="0082072B" w:rsidRDefault="002F7C1B" w:rsidP="00105F35">
      <w:pPr>
        <w:spacing w:line="360" w:lineRule="auto"/>
        <w:jc w:val="both"/>
        <w:rPr>
          <w:rFonts w:ascii="Arial" w:hAnsi="Arial" w:cs="Arial"/>
          <w:sz w:val="24"/>
          <w:szCs w:val="24"/>
        </w:rPr>
      </w:pPr>
      <w:r>
        <w:rPr>
          <w:rFonts w:ascii="Arial" w:hAnsi="Arial" w:cs="Arial"/>
          <w:sz w:val="24"/>
          <w:szCs w:val="24"/>
        </w:rPr>
        <w:t xml:space="preserve">The report has highlighted where the case originated from and when it began, and it has discussed the gross insubordination that Mr Maripane was charged with while explaining what constitutes insubordination in the workplace. </w:t>
      </w:r>
      <w:r w:rsidR="0027152A">
        <w:rPr>
          <w:rFonts w:ascii="Arial" w:hAnsi="Arial" w:cs="Arial"/>
          <w:sz w:val="24"/>
          <w:szCs w:val="24"/>
        </w:rPr>
        <w:t xml:space="preserve">The report identified all the role players that were part of the labour court case of </w:t>
      </w:r>
      <w:r w:rsidR="0027152A" w:rsidRPr="0027152A">
        <w:rPr>
          <w:rFonts w:ascii="Arial" w:hAnsi="Arial" w:cs="Arial"/>
          <w:sz w:val="24"/>
          <w:szCs w:val="24"/>
        </w:rPr>
        <w:t>Glencore Operations SA v</w:t>
      </w:r>
      <w:r w:rsidR="00A9417A">
        <w:rPr>
          <w:rFonts w:ascii="Arial" w:hAnsi="Arial" w:cs="Arial"/>
          <w:sz w:val="24"/>
          <w:szCs w:val="24"/>
        </w:rPr>
        <w:t xml:space="preserve"> Simon Mohubedu Ranthu (JR 1906/</w:t>
      </w:r>
      <w:r w:rsidR="0027152A" w:rsidRPr="0027152A">
        <w:rPr>
          <w:rFonts w:ascii="Arial" w:hAnsi="Arial" w:cs="Arial"/>
          <w:sz w:val="24"/>
          <w:szCs w:val="24"/>
        </w:rPr>
        <w:t>14)</w:t>
      </w:r>
      <w:r w:rsidR="0027152A">
        <w:rPr>
          <w:rFonts w:ascii="Arial" w:hAnsi="Arial" w:cs="Arial"/>
          <w:sz w:val="24"/>
          <w:szCs w:val="24"/>
        </w:rPr>
        <w:t xml:space="preserve"> including those within the company (Glencore Operations SA) and the </w:t>
      </w:r>
      <w:r w:rsidR="0027152A" w:rsidRPr="0027152A">
        <w:rPr>
          <w:rFonts w:ascii="Arial" w:hAnsi="Arial" w:cs="Arial"/>
          <w:sz w:val="24"/>
          <w:szCs w:val="24"/>
        </w:rPr>
        <w:t>Commission for Conciliation</w:t>
      </w:r>
      <w:r w:rsidR="0027152A">
        <w:rPr>
          <w:rFonts w:ascii="Arial" w:hAnsi="Arial" w:cs="Arial"/>
          <w:sz w:val="24"/>
          <w:szCs w:val="24"/>
        </w:rPr>
        <w:t>,</w:t>
      </w:r>
      <w:r w:rsidR="0027152A" w:rsidRPr="0027152A">
        <w:rPr>
          <w:rFonts w:ascii="Arial" w:hAnsi="Arial" w:cs="Arial"/>
          <w:sz w:val="24"/>
          <w:szCs w:val="24"/>
        </w:rPr>
        <w:t xml:space="preserve"> Mediation and Arbitration (CCMA</w:t>
      </w:r>
      <w:r w:rsidR="0027152A">
        <w:rPr>
          <w:rFonts w:ascii="Arial" w:hAnsi="Arial" w:cs="Arial"/>
          <w:sz w:val="24"/>
          <w:szCs w:val="24"/>
        </w:rPr>
        <w:t>).</w:t>
      </w:r>
      <w:r w:rsidR="00F72F4B">
        <w:rPr>
          <w:rFonts w:ascii="Arial" w:hAnsi="Arial" w:cs="Arial"/>
          <w:sz w:val="24"/>
          <w:szCs w:val="24"/>
        </w:rPr>
        <w:t xml:space="preserve"> The facts of the case have identified and discussed why the transgression took place, why Glencore Operations SA took the matter to the CCMA and later on the </w:t>
      </w:r>
      <w:r w:rsidR="00F72F4B">
        <w:rPr>
          <w:rFonts w:ascii="Arial" w:hAnsi="Arial" w:cs="Arial"/>
          <w:sz w:val="24"/>
          <w:szCs w:val="24"/>
        </w:rPr>
        <w:lastRenderedPageBreak/>
        <w:t>la</w:t>
      </w:r>
      <w:r w:rsidR="00433903">
        <w:rPr>
          <w:rFonts w:ascii="Arial" w:hAnsi="Arial" w:cs="Arial"/>
          <w:sz w:val="24"/>
          <w:szCs w:val="24"/>
        </w:rPr>
        <w:t xml:space="preserve">bour court where the final decision was made. And finally it discussed the mitigating factors of why Mr Maripane should not have been dismissed and why Glencore </w:t>
      </w:r>
      <w:r w:rsidR="00A50F99">
        <w:rPr>
          <w:rFonts w:ascii="Arial" w:hAnsi="Arial" w:cs="Arial"/>
          <w:sz w:val="24"/>
          <w:szCs w:val="24"/>
        </w:rPr>
        <w:t>Operations</w:t>
      </w:r>
      <w:r w:rsidR="00433903">
        <w:rPr>
          <w:rFonts w:ascii="Arial" w:hAnsi="Arial" w:cs="Arial"/>
          <w:sz w:val="24"/>
          <w:szCs w:val="24"/>
        </w:rPr>
        <w:t xml:space="preserve"> SA had to dismiss the employee. </w:t>
      </w:r>
    </w:p>
    <w:p w:rsidR="00FD3F26" w:rsidRDefault="00FD3F26" w:rsidP="00105F35">
      <w:pPr>
        <w:pStyle w:val="Heading1"/>
        <w:spacing w:line="360" w:lineRule="auto"/>
        <w:jc w:val="both"/>
        <w:rPr>
          <w:rFonts w:ascii="Arial" w:hAnsi="Arial" w:cs="Arial"/>
          <w:sz w:val="24"/>
          <w:szCs w:val="24"/>
        </w:rPr>
      </w:pPr>
    </w:p>
    <w:p w:rsidR="00343D57" w:rsidRPr="00300618" w:rsidRDefault="0000752E" w:rsidP="00105F35">
      <w:pPr>
        <w:pStyle w:val="Heading1"/>
        <w:spacing w:line="360" w:lineRule="auto"/>
        <w:jc w:val="both"/>
        <w:rPr>
          <w:rFonts w:ascii="Arial" w:hAnsi="Arial" w:cs="Arial"/>
          <w:sz w:val="24"/>
          <w:szCs w:val="24"/>
        </w:rPr>
      </w:pPr>
      <w:bookmarkStart w:id="11" w:name="_Toc71549727"/>
      <w:r>
        <w:rPr>
          <w:rFonts w:ascii="Arial" w:hAnsi="Arial" w:cs="Arial"/>
          <w:sz w:val="24"/>
          <w:szCs w:val="24"/>
        </w:rPr>
        <w:t xml:space="preserve">6. </w:t>
      </w:r>
      <w:r w:rsidR="00343D57" w:rsidRPr="00300618">
        <w:rPr>
          <w:rFonts w:ascii="Arial" w:hAnsi="Arial" w:cs="Arial"/>
          <w:sz w:val="24"/>
          <w:szCs w:val="24"/>
        </w:rPr>
        <w:t>Reference List</w:t>
      </w:r>
      <w:bookmarkEnd w:id="11"/>
    </w:p>
    <w:p w:rsidR="0000752E" w:rsidRPr="00D92FCC" w:rsidRDefault="0000752E" w:rsidP="00105F35">
      <w:pPr>
        <w:spacing w:line="360" w:lineRule="auto"/>
        <w:rPr>
          <w:rFonts w:ascii="Arial" w:hAnsi="Arial" w:cs="Arial"/>
          <w:sz w:val="24"/>
          <w:szCs w:val="24"/>
        </w:rPr>
      </w:pPr>
      <w:r>
        <w:rPr>
          <w:rFonts w:ascii="Arial" w:hAnsi="Arial" w:cs="Arial"/>
          <w:sz w:val="24"/>
          <w:szCs w:val="24"/>
        </w:rPr>
        <w:t xml:space="preserve">Barber, M.  </w:t>
      </w:r>
      <w:r w:rsidRPr="00D92FCC">
        <w:rPr>
          <w:rFonts w:ascii="Arial" w:hAnsi="Arial" w:cs="Arial"/>
          <w:sz w:val="24"/>
          <w:szCs w:val="24"/>
        </w:rPr>
        <w:t>2012.</w:t>
      </w:r>
      <w:r>
        <w:rPr>
          <w:rFonts w:ascii="Arial" w:hAnsi="Arial" w:cs="Arial"/>
          <w:sz w:val="24"/>
          <w:szCs w:val="24"/>
        </w:rPr>
        <w:t xml:space="preserve"> </w:t>
      </w:r>
      <w:r w:rsidRPr="00D92FCC">
        <w:rPr>
          <w:rFonts w:ascii="Arial" w:hAnsi="Arial" w:cs="Arial"/>
          <w:sz w:val="24"/>
          <w:szCs w:val="24"/>
        </w:rPr>
        <w:t xml:space="preserve"> The trial of the Templars. </w:t>
      </w:r>
      <w:r>
        <w:rPr>
          <w:rFonts w:ascii="Arial" w:hAnsi="Arial" w:cs="Arial"/>
          <w:sz w:val="24"/>
          <w:szCs w:val="24"/>
        </w:rPr>
        <w:t xml:space="preserve"> </w:t>
      </w:r>
      <w:r w:rsidRPr="00D92FCC">
        <w:rPr>
          <w:rFonts w:ascii="Arial" w:hAnsi="Arial" w:cs="Arial"/>
          <w:sz w:val="24"/>
          <w:szCs w:val="24"/>
        </w:rPr>
        <w:t>Cambridge University Press.</w:t>
      </w:r>
    </w:p>
    <w:p w:rsidR="0000752E" w:rsidRDefault="0000752E" w:rsidP="00105F35">
      <w:pPr>
        <w:spacing w:line="360" w:lineRule="auto"/>
        <w:rPr>
          <w:rFonts w:ascii="Arial" w:hAnsi="Arial" w:cs="Arial"/>
          <w:sz w:val="24"/>
          <w:szCs w:val="24"/>
        </w:rPr>
      </w:pPr>
      <w:r>
        <w:rPr>
          <w:rFonts w:ascii="Arial" w:hAnsi="Arial" w:cs="Arial"/>
          <w:sz w:val="24"/>
          <w:szCs w:val="24"/>
        </w:rPr>
        <w:t>B</w:t>
      </w:r>
      <w:r w:rsidRPr="00AD5AD3">
        <w:rPr>
          <w:rFonts w:ascii="Arial" w:hAnsi="Arial" w:cs="Arial"/>
          <w:sz w:val="24"/>
          <w:szCs w:val="24"/>
        </w:rPr>
        <w:t>righthr</w:t>
      </w:r>
      <w:r>
        <w:rPr>
          <w:rFonts w:ascii="Arial" w:hAnsi="Arial" w:cs="Arial"/>
          <w:sz w:val="24"/>
          <w:szCs w:val="24"/>
        </w:rPr>
        <w:t xml:space="preserve">.  2021.  </w:t>
      </w:r>
      <w:r w:rsidRPr="00D23BA4">
        <w:rPr>
          <w:rFonts w:ascii="Arial" w:hAnsi="Arial" w:cs="Arial"/>
          <w:sz w:val="24"/>
          <w:szCs w:val="24"/>
        </w:rPr>
        <w:t>Is serious insubordination grounds for dismissal?</w:t>
      </w:r>
      <w:r>
        <w:rPr>
          <w:rFonts w:ascii="Arial" w:hAnsi="Arial" w:cs="Arial"/>
          <w:sz w:val="24"/>
          <w:szCs w:val="24"/>
        </w:rPr>
        <w:t xml:space="preserve">  </w:t>
      </w:r>
      <w:hyperlink r:id="rId10" w:history="1">
        <w:r w:rsidRPr="00544909">
          <w:rPr>
            <w:rStyle w:val="Hyperlink"/>
            <w:rFonts w:ascii="Arial" w:hAnsi="Arial" w:cs="Arial"/>
            <w:sz w:val="24"/>
            <w:szCs w:val="24"/>
          </w:rPr>
          <w:t>https://www.brighthr.com/articles/employee-conduct/serious-insubordination-at-work/</w:t>
        </w:r>
      </w:hyperlink>
      <w:r>
        <w:rPr>
          <w:rFonts w:ascii="Arial" w:hAnsi="Arial" w:cs="Arial"/>
          <w:sz w:val="24"/>
          <w:szCs w:val="24"/>
        </w:rPr>
        <w:t xml:space="preserve">  Date of access: 07 May 2021.</w:t>
      </w:r>
    </w:p>
    <w:p w:rsidR="0000752E" w:rsidRDefault="0000752E" w:rsidP="00105F35">
      <w:pPr>
        <w:spacing w:line="360" w:lineRule="auto"/>
        <w:rPr>
          <w:rFonts w:ascii="Arial" w:hAnsi="Arial" w:cs="Arial"/>
          <w:sz w:val="24"/>
          <w:szCs w:val="24"/>
        </w:rPr>
      </w:pPr>
      <w:r>
        <w:rPr>
          <w:rFonts w:ascii="Arial" w:hAnsi="Arial" w:cs="Arial"/>
          <w:sz w:val="24"/>
          <w:szCs w:val="24"/>
        </w:rPr>
        <w:t xml:space="preserve">Conley, J.M., O'Barr, W.M. &amp; Riner, R.C.  </w:t>
      </w:r>
      <w:r w:rsidRPr="00D92FCC">
        <w:rPr>
          <w:rFonts w:ascii="Arial" w:hAnsi="Arial" w:cs="Arial"/>
          <w:sz w:val="24"/>
          <w:szCs w:val="24"/>
        </w:rPr>
        <w:t xml:space="preserve">2019. </w:t>
      </w:r>
      <w:r>
        <w:rPr>
          <w:rFonts w:ascii="Arial" w:hAnsi="Arial" w:cs="Arial"/>
          <w:sz w:val="24"/>
          <w:szCs w:val="24"/>
        </w:rPr>
        <w:t xml:space="preserve"> </w:t>
      </w:r>
      <w:r w:rsidRPr="00D92FCC">
        <w:rPr>
          <w:rFonts w:ascii="Arial" w:hAnsi="Arial" w:cs="Arial"/>
          <w:sz w:val="24"/>
          <w:szCs w:val="24"/>
        </w:rPr>
        <w:t xml:space="preserve">Just words: Law, language, and power. </w:t>
      </w:r>
      <w:r>
        <w:rPr>
          <w:rFonts w:ascii="Arial" w:hAnsi="Arial" w:cs="Arial"/>
          <w:sz w:val="24"/>
          <w:szCs w:val="24"/>
        </w:rPr>
        <w:t xml:space="preserve"> </w:t>
      </w:r>
      <w:r w:rsidRPr="00D92FCC">
        <w:rPr>
          <w:rFonts w:ascii="Arial" w:hAnsi="Arial" w:cs="Arial"/>
          <w:sz w:val="24"/>
          <w:szCs w:val="24"/>
        </w:rPr>
        <w:t>University of Chicago Press</w:t>
      </w:r>
      <w:r>
        <w:rPr>
          <w:rFonts w:ascii="Arial" w:hAnsi="Arial" w:cs="Arial"/>
          <w:sz w:val="24"/>
          <w:szCs w:val="24"/>
        </w:rPr>
        <w:t>.</w:t>
      </w:r>
    </w:p>
    <w:p w:rsidR="0000752E" w:rsidRPr="00277541" w:rsidRDefault="0000752E" w:rsidP="00105F35">
      <w:pPr>
        <w:spacing w:line="360" w:lineRule="auto"/>
        <w:rPr>
          <w:rFonts w:ascii="Arial" w:hAnsi="Arial" w:cs="Arial"/>
          <w:sz w:val="24"/>
          <w:szCs w:val="24"/>
        </w:rPr>
      </w:pPr>
      <w:r w:rsidRPr="00277541">
        <w:rPr>
          <w:rFonts w:ascii="Arial" w:hAnsi="Arial" w:cs="Arial"/>
          <w:sz w:val="24"/>
          <w:szCs w:val="24"/>
        </w:rPr>
        <w:t>Glencore Operations SA v</w:t>
      </w:r>
      <w:r>
        <w:rPr>
          <w:rFonts w:ascii="Arial" w:hAnsi="Arial" w:cs="Arial"/>
          <w:sz w:val="24"/>
          <w:szCs w:val="24"/>
        </w:rPr>
        <w:t xml:space="preserve"> Simon Mohubedu Ranthu (JR 1906/</w:t>
      </w:r>
      <w:r w:rsidRPr="00277541">
        <w:rPr>
          <w:rFonts w:ascii="Arial" w:hAnsi="Arial" w:cs="Arial"/>
          <w:sz w:val="24"/>
          <w:szCs w:val="24"/>
        </w:rPr>
        <w:t>14).</w:t>
      </w:r>
      <w:r>
        <w:rPr>
          <w:rFonts w:ascii="Arial" w:hAnsi="Arial" w:cs="Arial"/>
          <w:sz w:val="24"/>
          <w:szCs w:val="24"/>
        </w:rPr>
        <w:t xml:space="preserve">  2016.</w:t>
      </w:r>
      <w:r w:rsidRPr="00277541">
        <w:rPr>
          <w:rFonts w:ascii="Arial" w:hAnsi="Arial" w:cs="Arial"/>
          <w:sz w:val="24"/>
          <w:szCs w:val="24"/>
        </w:rPr>
        <w:t xml:space="preserve">  </w:t>
      </w:r>
      <w:hyperlink r:id="rId11" w:history="1">
        <w:r w:rsidRPr="00544909">
          <w:rPr>
            <w:rStyle w:val="Hyperlink"/>
            <w:rFonts w:ascii="Arial" w:hAnsi="Arial" w:cs="Arial"/>
            <w:sz w:val="24"/>
            <w:szCs w:val="24"/>
          </w:rPr>
          <w:t>https://www.justice.gov.za/labourcourt/jdgm-lbc/2016lab/2016-JR1906-14.pdf</w:t>
        </w:r>
      </w:hyperlink>
      <w:r>
        <w:rPr>
          <w:rFonts w:ascii="Arial" w:hAnsi="Arial" w:cs="Arial"/>
          <w:sz w:val="24"/>
          <w:szCs w:val="24"/>
        </w:rPr>
        <w:t xml:space="preserve"> </w:t>
      </w:r>
      <w:r w:rsidRPr="00277541">
        <w:rPr>
          <w:rFonts w:ascii="Arial" w:hAnsi="Arial" w:cs="Arial"/>
          <w:sz w:val="24"/>
          <w:szCs w:val="24"/>
        </w:rPr>
        <w:t xml:space="preserve"> Date of access: 07 May. 2021.</w:t>
      </w:r>
    </w:p>
    <w:p w:rsidR="0000752E" w:rsidRPr="00D92FCC" w:rsidRDefault="0000752E" w:rsidP="00105F35">
      <w:pPr>
        <w:spacing w:line="360" w:lineRule="auto"/>
        <w:rPr>
          <w:rFonts w:ascii="Arial" w:hAnsi="Arial" w:cs="Arial"/>
          <w:sz w:val="24"/>
          <w:szCs w:val="24"/>
        </w:rPr>
      </w:pPr>
      <w:r>
        <w:rPr>
          <w:rFonts w:ascii="Arial" w:hAnsi="Arial" w:cs="Arial"/>
          <w:sz w:val="24"/>
          <w:szCs w:val="24"/>
        </w:rPr>
        <w:t xml:space="preserve">Knight, K.  </w:t>
      </w:r>
      <w:r w:rsidRPr="00D92FCC">
        <w:rPr>
          <w:rFonts w:ascii="Arial" w:hAnsi="Arial" w:cs="Arial"/>
          <w:sz w:val="24"/>
          <w:szCs w:val="24"/>
        </w:rPr>
        <w:t xml:space="preserve">2018. </w:t>
      </w:r>
      <w:r>
        <w:rPr>
          <w:rFonts w:ascii="Arial" w:hAnsi="Arial" w:cs="Arial"/>
          <w:sz w:val="24"/>
          <w:szCs w:val="24"/>
        </w:rPr>
        <w:t xml:space="preserve"> </w:t>
      </w:r>
      <w:r w:rsidRPr="00D92FCC">
        <w:rPr>
          <w:rFonts w:ascii="Arial" w:hAnsi="Arial" w:cs="Arial"/>
          <w:sz w:val="24"/>
          <w:szCs w:val="24"/>
        </w:rPr>
        <w:t xml:space="preserve">Transgressor communication after committing a hurtful relational event: Associations with attributed intent, blame, guilt, responsibility, and perceived forgiveness. </w:t>
      </w:r>
      <w:r>
        <w:rPr>
          <w:rFonts w:ascii="Arial" w:hAnsi="Arial" w:cs="Arial"/>
          <w:sz w:val="24"/>
          <w:szCs w:val="24"/>
        </w:rPr>
        <w:t xml:space="preserve"> </w:t>
      </w:r>
      <w:r w:rsidRPr="00635203">
        <w:rPr>
          <w:rFonts w:ascii="Arial" w:hAnsi="Arial" w:cs="Arial"/>
          <w:i/>
          <w:sz w:val="24"/>
          <w:szCs w:val="24"/>
        </w:rPr>
        <w:t>Western Journal of Communication</w:t>
      </w:r>
      <w:r w:rsidRPr="00D92FCC">
        <w:rPr>
          <w:rFonts w:ascii="Arial" w:hAnsi="Arial" w:cs="Arial"/>
          <w:sz w:val="24"/>
          <w:szCs w:val="24"/>
        </w:rPr>
        <w:t xml:space="preserve">, </w:t>
      </w:r>
      <w:r>
        <w:rPr>
          <w:rFonts w:ascii="Arial" w:hAnsi="Arial" w:cs="Arial"/>
          <w:sz w:val="24"/>
          <w:szCs w:val="24"/>
        </w:rPr>
        <w:t xml:space="preserve"> 82(4):</w:t>
      </w:r>
      <w:r w:rsidRPr="00D92FCC">
        <w:rPr>
          <w:rFonts w:ascii="Arial" w:hAnsi="Arial" w:cs="Arial"/>
          <w:sz w:val="24"/>
          <w:szCs w:val="24"/>
        </w:rPr>
        <w:t>475-492.</w:t>
      </w:r>
    </w:p>
    <w:p w:rsidR="0000752E" w:rsidRPr="00D92FCC" w:rsidRDefault="0000752E" w:rsidP="00105F35">
      <w:pPr>
        <w:spacing w:line="360" w:lineRule="auto"/>
        <w:rPr>
          <w:rFonts w:ascii="Arial" w:hAnsi="Arial" w:cs="Arial"/>
          <w:sz w:val="24"/>
          <w:szCs w:val="24"/>
        </w:rPr>
      </w:pPr>
      <w:r>
        <w:rPr>
          <w:rFonts w:ascii="Arial" w:hAnsi="Arial" w:cs="Arial"/>
          <w:sz w:val="24"/>
          <w:szCs w:val="24"/>
        </w:rPr>
        <w:t xml:space="preserve">Knight, X. &amp; Ukpere, W.I.  </w:t>
      </w:r>
      <w:r w:rsidRPr="00D92FCC">
        <w:rPr>
          <w:rFonts w:ascii="Arial" w:hAnsi="Arial" w:cs="Arial"/>
          <w:sz w:val="24"/>
          <w:szCs w:val="24"/>
        </w:rPr>
        <w:t xml:space="preserve">2020. </w:t>
      </w:r>
      <w:r>
        <w:rPr>
          <w:rFonts w:ascii="Arial" w:hAnsi="Arial" w:cs="Arial"/>
          <w:sz w:val="24"/>
          <w:szCs w:val="24"/>
        </w:rPr>
        <w:t xml:space="preserve"> </w:t>
      </w:r>
      <w:r w:rsidRPr="00D92FCC">
        <w:rPr>
          <w:rFonts w:ascii="Arial" w:hAnsi="Arial" w:cs="Arial"/>
          <w:sz w:val="24"/>
          <w:szCs w:val="24"/>
        </w:rPr>
        <w:t xml:space="preserve">The effectiveness of disciplinary action within a state owned entity. </w:t>
      </w:r>
      <w:r>
        <w:rPr>
          <w:rFonts w:ascii="Arial" w:hAnsi="Arial" w:cs="Arial"/>
          <w:sz w:val="24"/>
          <w:szCs w:val="24"/>
        </w:rPr>
        <w:t xml:space="preserve"> </w:t>
      </w:r>
      <w:r w:rsidRPr="00D92FCC">
        <w:rPr>
          <w:rFonts w:ascii="Arial" w:hAnsi="Arial" w:cs="Arial"/>
          <w:i/>
          <w:sz w:val="24"/>
          <w:szCs w:val="24"/>
        </w:rPr>
        <w:t>Psychology and Education Journal</w:t>
      </w:r>
      <w:r w:rsidRPr="00D92FCC">
        <w:rPr>
          <w:rFonts w:ascii="Arial" w:hAnsi="Arial" w:cs="Arial"/>
          <w:sz w:val="24"/>
          <w:szCs w:val="24"/>
        </w:rPr>
        <w:t xml:space="preserve">, </w:t>
      </w:r>
      <w:r>
        <w:rPr>
          <w:rFonts w:ascii="Arial" w:hAnsi="Arial" w:cs="Arial"/>
          <w:sz w:val="24"/>
          <w:szCs w:val="24"/>
        </w:rPr>
        <w:t xml:space="preserve"> 57(8):</w:t>
      </w:r>
      <w:r w:rsidRPr="00D92FCC">
        <w:rPr>
          <w:rFonts w:ascii="Arial" w:hAnsi="Arial" w:cs="Arial"/>
          <w:sz w:val="24"/>
          <w:szCs w:val="24"/>
        </w:rPr>
        <w:t>1110-1117.</w:t>
      </w:r>
    </w:p>
    <w:p w:rsidR="0000752E" w:rsidRDefault="0000752E" w:rsidP="00105F35">
      <w:pPr>
        <w:spacing w:line="360" w:lineRule="auto"/>
        <w:rPr>
          <w:rFonts w:ascii="Arial" w:hAnsi="Arial" w:cs="Arial"/>
          <w:sz w:val="24"/>
          <w:szCs w:val="24"/>
        </w:rPr>
      </w:pPr>
      <w:r w:rsidRPr="00FF1E92">
        <w:rPr>
          <w:rFonts w:ascii="Arial" w:hAnsi="Arial" w:cs="Arial"/>
          <w:sz w:val="24"/>
          <w:szCs w:val="24"/>
        </w:rPr>
        <w:t>Legal Services Commission of South Africa.</w:t>
      </w:r>
      <w:r>
        <w:rPr>
          <w:rFonts w:ascii="Arial" w:hAnsi="Arial" w:cs="Arial"/>
          <w:sz w:val="24"/>
          <w:szCs w:val="24"/>
        </w:rPr>
        <w:t xml:space="preserve">  2021.  </w:t>
      </w:r>
      <w:hyperlink r:id="rId12" w:history="1">
        <w:r w:rsidRPr="00544909">
          <w:rPr>
            <w:rStyle w:val="Hyperlink"/>
            <w:rFonts w:ascii="Arial" w:hAnsi="Arial" w:cs="Arial"/>
            <w:sz w:val="24"/>
            <w:szCs w:val="24"/>
          </w:rPr>
          <w:t>https://lsc.sa.gov.au/</w:t>
        </w:r>
      </w:hyperlink>
      <w:r>
        <w:rPr>
          <w:rFonts w:ascii="Arial" w:hAnsi="Arial" w:cs="Arial"/>
          <w:sz w:val="24"/>
          <w:szCs w:val="24"/>
        </w:rPr>
        <w:t xml:space="preserve"> </w:t>
      </w:r>
      <w:r w:rsidRPr="00FF1E92">
        <w:rPr>
          <w:rFonts w:ascii="Arial" w:hAnsi="Arial" w:cs="Arial"/>
          <w:sz w:val="24"/>
          <w:szCs w:val="24"/>
        </w:rPr>
        <w:t xml:space="preserve"> Date of access: 07 May 2021.</w:t>
      </w:r>
    </w:p>
    <w:p w:rsidR="0000752E" w:rsidRPr="00343D57" w:rsidRDefault="0000752E" w:rsidP="00105F35">
      <w:pPr>
        <w:spacing w:line="360" w:lineRule="auto"/>
        <w:rPr>
          <w:rFonts w:ascii="Arial" w:hAnsi="Arial" w:cs="Arial"/>
          <w:sz w:val="24"/>
          <w:szCs w:val="24"/>
        </w:rPr>
      </w:pPr>
      <w:r w:rsidRPr="00343D57">
        <w:rPr>
          <w:rFonts w:ascii="Arial" w:hAnsi="Arial" w:cs="Arial"/>
          <w:sz w:val="24"/>
          <w:szCs w:val="24"/>
        </w:rPr>
        <w:t>Nel,</w:t>
      </w:r>
      <w:r>
        <w:rPr>
          <w:rFonts w:ascii="Arial" w:hAnsi="Arial" w:cs="Arial"/>
          <w:sz w:val="24"/>
          <w:szCs w:val="24"/>
        </w:rPr>
        <w:t xml:space="preserve"> P.S., </w:t>
      </w:r>
      <w:r w:rsidRPr="00343D57">
        <w:rPr>
          <w:rFonts w:ascii="Arial" w:hAnsi="Arial" w:cs="Arial"/>
          <w:sz w:val="24"/>
          <w:szCs w:val="24"/>
        </w:rPr>
        <w:t>Kir</w:t>
      </w:r>
      <w:r>
        <w:rPr>
          <w:rFonts w:ascii="Arial" w:hAnsi="Arial" w:cs="Arial"/>
          <w:sz w:val="24"/>
          <w:szCs w:val="24"/>
        </w:rPr>
        <w:t xml:space="preserve">sten, M., Swanepoel, B.J., Erasmus, B.J. &amp; </w:t>
      </w:r>
      <w:r w:rsidRPr="00343D57">
        <w:rPr>
          <w:rFonts w:ascii="Arial" w:hAnsi="Arial" w:cs="Arial"/>
          <w:sz w:val="24"/>
          <w:szCs w:val="24"/>
        </w:rPr>
        <w:t>Jordaan</w:t>
      </w:r>
      <w:r>
        <w:rPr>
          <w:rFonts w:ascii="Arial" w:hAnsi="Arial" w:cs="Arial"/>
          <w:sz w:val="24"/>
          <w:szCs w:val="24"/>
        </w:rPr>
        <w:t>, B</w:t>
      </w:r>
      <w:r w:rsidRPr="00343D57">
        <w:rPr>
          <w:rFonts w:ascii="Arial" w:hAnsi="Arial" w:cs="Arial"/>
          <w:sz w:val="24"/>
          <w:szCs w:val="24"/>
        </w:rPr>
        <w:t>.</w:t>
      </w:r>
      <w:r>
        <w:rPr>
          <w:rFonts w:ascii="Arial" w:hAnsi="Arial" w:cs="Arial"/>
          <w:sz w:val="24"/>
          <w:szCs w:val="24"/>
        </w:rPr>
        <w:t xml:space="preserve"> </w:t>
      </w:r>
      <w:r w:rsidRPr="00343D57">
        <w:rPr>
          <w:rFonts w:ascii="Arial" w:hAnsi="Arial" w:cs="Arial"/>
          <w:sz w:val="24"/>
          <w:szCs w:val="24"/>
        </w:rPr>
        <w:t xml:space="preserve"> 2016. </w:t>
      </w:r>
      <w:r>
        <w:rPr>
          <w:rFonts w:ascii="Arial" w:hAnsi="Arial" w:cs="Arial"/>
          <w:sz w:val="24"/>
          <w:szCs w:val="24"/>
        </w:rPr>
        <w:t xml:space="preserve"> </w:t>
      </w:r>
      <w:r w:rsidRPr="00343D57">
        <w:rPr>
          <w:rFonts w:ascii="Arial" w:hAnsi="Arial" w:cs="Arial"/>
          <w:sz w:val="24"/>
          <w:szCs w:val="24"/>
        </w:rPr>
        <w:t xml:space="preserve">South African Employment Relations: Theory and Practice. </w:t>
      </w:r>
      <w:r>
        <w:rPr>
          <w:rFonts w:ascii="Arial" w:hAnsi="Arial" w:cs="Arial"/>
          <w:sz w:val="24"/>
          <w:szCs w:val="24"/>
        </w:rPr>
        <w:t xml:space="preserve"> 8</w:t>
      </w:r>
      <w:r w:rsidRPr="00A74E70">
        <w:rPr>
          <w:rFonts w:ascii="Arial" w:hAnsi="Arial" w:cs="Arial"/>
          <w:sz w:val="24"/>
          <w:szCs w:val="24"/>
          <w:vertAlign w:val="superscript"/>
        </w:rPr>
        <w:t>th</w:t>
      </w:r>
      <w:r w:rsidRPr="00343D57">
        <w:rPr>
          <w:rFonts w:ascii="Arial" w:hAnsi="Arial" w:cs="Arial"/>
          <w:sz w:val="24"/>
          <w:szCs w:val="24"/>
        </w:rPr>
        <w:t xml:space="preserve"> ed. </w:t>
      </w:r>
      <w:r>
        <w:rPr>
          <w:rFonts w:ascii="Arial" w:hAnsi="Arial" w:cs="Arial"/>
          <w:sz w:val="24"/>
          <w:szCs w:val="24"/>
        </w:rPr>
        <w:t xml:space="preserve"> Pretoria: Van Schaik </w:t>
      </w:r>
      <w:r w:rsidRPr="00343D57">
        <w:rPr>
          <w:rFonts w:ascii="Arial" w:hAnsi="Arial" w:cs="Arial"/>
          <w:sz w:val="24"/>
          <w:szCs w:val="24"/>
        </w:rPr>
        <w:t>Publishers</w:t>
      </w:r>
      <w:r>
        <w:rPr>
          <w:rFonts w:ascii="Arial" w:hAnsi="Arial" w:cs="Arial"/>
          <w:sz w:val="24"/>
          <w:szCs w:val="24"/>
        </w:rPr>
        <w:t>.</w:t>
      </w:r>
    </w:p>
    <w:p w:rsidR="0000752E" w:rsidRDefault="0000752E" w:rsidP="00105F35">
      <w:pPr>
        <w:spacing w:line="360" w:lineRule="auto"/>
        <w:rPr>
          <w:rFonts w:ascii="Arial" w:hAnsi="Arial" w:cs="Arial"/>
          <w:sz w:val="24"/>
          <w:szCs w:val="24"/>
        </w:rPr>
      </w:pPr>
      <w:r w:rsidRPr="00277541">
        <w:rPr>
          <w:rFonts w:ascii="Arial" w:hAnsi="Arial" w:cs="Arial"/>
          <w:sz w:val="24"/>
          <w:szCs w:val="24"/>
        </w:rPr>
        <w:t xml:space="preserve">Parikh, P.M.  2020.  Workplace insubordination is misconduct–gross subordination can lead to restraining order under section 144 of Indian criminal procedure code.  </w:t>
      </w:r>
      <w:r w:rsidRPr="00D1506E">
        <w:rPr>
          <w:rFonts w:ascii="Arial" w:hAnsi="Arial" w:cs="Arial"/>
          <w:i/>
          <w:sz w:val="24"/>
          <w:szCs w:val="24"/>
        </w:rPr>
        <w:t>Indian Journal of Medical Sciences</w:t>
      </w:r>
      <w:r w:rsidRPr="00277541">
        <w:rPr>
          <w:rFonts w:ascii="Arial" w:hAnsi="Arial" w:cs="Arial"/>
          <w:sz w:val="24"/>
          <w:szCs w:val="24"/>
        </w:rPr>
        <w:t>, 71(2):88-92.</w:t>
      </w:r>
    </w:p>
    <w:p w:rsidR="0000752E" w:rsidRPr="00277541" w:rsidRDefault="0000752E" w:rsidP="00105F35">
      <w:pPr>
        <w:spacing w:line="360" w:lineRule="auto"/>
        <w:rPr>
          <w:rFonts w:ascii="Arial" w:hAnsi="Arial" w:cs="Arial"/>
          <w:sz w:val="24"/>
          <w:szCs w:val="24"/>
        </w:rPr>
      </w:pPr>
      <w:r w:rsidRPr="00277541">
        <w:rPr>
          <w:rFonts w:ascii="Arial" w:hAnsi="Arial" w:cs="Arial"/>
          <w:sz w:val="24"/>
          <w:szCs w:val="24"/>
        </w:rPr>
        <w:lastRenderedPageBreak/>
        <w:t xml:space="preserve">Phala, M.  2021.  Insubordinate or Insolent Behaviour will get you dismissed.        </w:t>
      </w:r>
      <w:hyperlink r:id="rId13" w:history="1">
        <w:r w:rsidRPr="00544909">
          <w:rPr>
            <w:rStyle w:val="Hyperlink"/>
            <w:rFonts w:ascii="Arial" w:hAnsi="Arial" w:cs="Arial"/>
            <w:sz w:val="24"/>
            <w:szCs w:val="24"/>
          </w:rPr>
          <w:t>https://dev.labourguide.co.za/most-recent/1866-insubordinate-or-insolent-behaviour-will-get-you-dismissed</w:t>
        </w:r>
      </w:hyperlink>
      <w:r>
        <w:rPr>
          <w:rFonts w:ascii="Arial" w:hAnsi="Arial" w:cs="Arial"/>
          <w:sz w:val="24"/>
          <w:szCs w:val="24"/>
        </w:rPr>
        <w:t xml:space="preserve">  </w:t>
      </w:r>
      <w:r w:rsidRPr="00277541">
        <w:rPr>
          <w:rFonts w:ascii="Arial" w:hAnsi="Arial" w:cs="Arial"/>
          <w:sz w:val="24"/>
          <w:szCs w:val="24"/>
        </w:rPr>
        <w:t>Date of access: 06 May 2021.</w:t>
      </w:r>
    </w:p>
    <w:p w:rsidR="0000752E" w:rsidRDefault="0000752E" w:rsidP="00105F35">
      <w:pPr>
        <w:spacing w:line="360" w:lineRule="auto"/>
        <w:rPr>
          <w:rFonts w:ascii="Arial" w:hAnsi="Arial" w:cs="Arial"/>
          <w:sz w:val="24"/>
          <w:szCs w:val="24"/>
        </w:rPr>
      </w:pPr>
      <w:r w:rsidRPr="00343D57">
        <w:rPr>
          <w:rFonts w:ascii="Arial" w:hAnsi="Arial" w:cs="Arial"/>
          <w:sz w:val="24"/>
          <w:szCs w:val="24"/>
        </w:rPr>
        <w:t xml:space="preserve">Statistics South Africa. </w:t>
      </w:r>
      <w:r>
        <w:rPr>
          <w:rFonts w:ascii="Arial" w:hAnsi="Arial" w:cs="Arial"/>
          <w:sz w:val="24"/>
          <w:szCs w:val="24"/>
        </w:rPr>
        <w:t xml:space="preserve"> </w:t>
      </w:r>
      <w:r w:rsidRPr="00343D57">
        <w:rPr>
          <w:rFonts w:ascii="Arial" w:hAnsi="Arial" w:cs="Arial"/>
          <w:sz w:val="24"/>
          <w:szCs w:val="24"/>
        </w:rPr>
        <w:t xml:space="preserve">2019.  General Household Survey 2019. </w:t>
      </w:r>
      <w:hyperlink r:id="rId14" w:history="1">
        <w:r w:rsidRPr="00544909">
          <w:rPr>
            <w:rStyle w:val="Hyperlink"/>
            <w:rFonts w:ascii="Arial" w:hAnsi="Arial" w:cs="Arial"/>
            <w:sz w:val="24"/>
            <w:szCs w:val="24"/>
          </w:rPr>
          <w:t>http://www.statssa.gov.za/publications/P0318/P03182019.pdf</w:t>
        </w:r>
      </w:hyperlink>
      <w:r>
        <w:rPr>
          <w:rFonts w:ascii="Arial" w:hAnsi="Arial" w:cs="Arial"/>
          <w:sz w:val="24"/>
          <w:szCs w:val="24"/>
        </w:rPr>
        <w:t xml:space="preserve">  </w:t>
      </w:r>
      <w:r w:rsidRPr="00343D57">
        <w:rPr>
          <w:rFonts w:ascii="Arial" w:hAnsi="Arial" w:cs="Arial"/>
          <w:sz w:val="24"/>
          <w:szCs w:val="24"/>
        </w:rPr>
        <w:t>Date of access: 05 May 2021</w:t>
      </w:r>
      <w:r>
        <w:rPr>
          <w:rFonts w:ascii="Arial" w:hAnsi="Arial" w:cs="Arial"/>
          <w:sz w:val="24"/>
          <w:szCs w:val="24"/>
        </w:rPr>
        <w:t>.</w:t>
      </w:r>
    </w:p>
    <w:p w:rsidR="0000752E" w:rsidRPr="00343D57" w:rsidRDefault="0000752E" w:rsidP="00105F35">
      <w:pPr>
        <w:spacing w:line="360" w:lineRule="auto"/>
        <w:rPr>
          <w:rFonts w:ascii="Arial" w:hAnsi="Arial" w:cs="Arial"/>
          <w:sz w:val="24"/>
          <w:szCs w:val="24"/>
        </w:rPr>
      </w:pPr>
      <w:r w:rsidRPr="00343D57">
        <w:rPr>
          <w:rFonts w:ascii="Arial" w:hAnsi="Arial" w:cs="Arial"/>
          <w:sz w:val="24"/>
          <w:szCs w:val="24"/>
        </w:rPr>
        <w:t>Statistics South Africa.</w:t>
      </w:r>
      <w:r>
        <w:rPr>
          <w:rFonts w:ascii="Arial" w:hAnsi="Arial" w:cs="Arial"/>
          <w:sz w:val="24"/>
          <w:szCs w:val="24"/>
        </w:rPr>
        <w:t xml:space="preserve"> </w:t>
      </w:r>
      <w:r w:rsidRPr="00343D57">
        <w:rPr>
          <w:rFonts w:ascii="Arial" w:hAnsi="Arial" w:cs="Arial"/>
          <w:sz w:val="24"/>
          <w:szCs w:val="24"/>
        </w:rPr>
        <w:t xml:space="preserve"> 2020. </w:t>
      </w:r>
      <w:r>
        <w:rPr>
          <w:rFonts w:ascii="Arial" w:hAnsi="Arial" w:cs="Arial"/>
          <w:sz w:val="24"/>
          <w:szCs w:val="24"/>
        </w:rPr>
        <w:t xml:space="preserve"> </w:t>
      </w:r>
      <w:r w:rsidRPr="00343D57">
        <w:rPr>
          <w:rFonts w:ascii="Arial" w:hAnsi="Arial" w:cs="Arial"/>
          <w:sz w:val="24"/>
          <w:szCs w:val="24"/>
        </w:rPr>
        <w:t>Impact of the COVID-19 pandemic on employment and income in South Africa.</w:t>
      </w:r>
      <w:r>
        <w:rPr>
          <w:rFonts w:ascii="Arial" w:hAnsi="Arial" w:cs="Arial"/>
          <w:sz w:val="24"/>
          <w:szCs w:val="24"/>
        </w:rPr>
        <w:t xml:space="preserve"> </w:t>
      </w:r>
      <w:r w:rsidRPr="00343D57">
        <w:rPr>
          <w:rFonts w:ascii="Arial" w:hAnsi="Arial" w:cs="Arial"/>
          <w:sz w:val="24"/>
          <w:szCs w:val="24"/>
        </w:rPr>
        <w:t xml:space="preserve"> </w:t>
      </w:r>
      <w:hyperlink r:id="rId15" w:history="1">
        <w:r w:rsidRPr="00544909">
          <w:rPr>
            <w:rStyle w:val="Hyperlink"/>
            <w:rFonts w:ascii="Arial" w:hAnsi="Arial" w:cs="Arial"/>
            <w:sz w:val="24"/>
            <w:szCs w:val="24"/>
          </w:rPr>
          <w:t>http://www.statssa.gov.za/publications/Report-00-80-03/Presentation%20Impact%20of%20COVID-19%20-%2020%20May%202020.pdf</w:t>
        </w:r>
      </w:hyperlink>
      <w:r>
        <w:rPr>
          <w:rFonts w:ascii="Arial" w:hAnsi="Arial" w:cs="Arial"/>
          <w:sz w:val="24"/>
          <w:szCs w:val="24"/>
        </w:rPr>
        <w:t xml:space="preserve">  Date of access: </w:t>
      </w:r>
      <w:r w:rsidRPr="00343D57">
        <w:rPr>
          <w:rFonts w:ascii="Arial" w:hAnsi="Arial" w:cs="Arial"/>
          <w:sz w:val="24"/>
          <w:szCs w:val="24"/>
        </w:rPr>
        <w:t>05 May 2021.</w:t>
      </w:r>
    </w:p>
    <w:p w:rsidR="0000752E" w:rsidRPr="009C5249" w:rsidRDefault="0000752E" w:rsidP="00E41320">
      <w:pPr>
        <w:rPr>
          <w:rFonts w:ascii="Arial" w:hAnsi="Arial" w:cs="Arial"/>
          <w:sz w:val="24"/>
          <w:szCs w:val="24"/>
        </w:rPr>
      </w:pPr>
      <w:r w:rsidRPr="009C5249">
        <w:rPr>
          <w:rFonts w:ascii="Arial" w:hAnsi="Arial" w:cs="Arial"/>
          <w:sz w:val="24"/>
          <w:szCs w:val="24"/>
        </w:rPr>
        <w:t>The People's Law Dictionary.  2005.  Witness.</w:t>
      </w:r>
      <w:r>
        <w:rPr>
          <w:rFonts w:ascii="Arial" w:hAnsi="Arial" w:cs="Arial"/>
          <w:color w:val="00B050"/>
          <w:sz w:val="24"/>
          <w:szCs w:val="24"/>
        </w:rPr>
        <w:t xml:space="preserve">  </w:t>
      </w:r>
      <w:hyperlink r:id="rId16" w:history="1">
        <w:r w:rsidRPr="00544909">
          <w:rPr>
            <w:rStyle w:val="Hyperlink"/>
            <w:rFonts w:ascii="Arial" w:hAnsi="Arial" w:cs="Arial"/>
            <w:sz w:val="24"/>
            <w:szCs w:val="24"/>
          </w:rPr>
          <w:t>https://legal-dictionary.thefreedictionary.com/witness</w:t>
        </w:r>
      </w:hyperlink>
      <w:r>
        <w:rPr>
          <w:rFonts w:ascii="Arial" w:hAnsi="Arial" w:cs="Arial"/>
          <w:color w:val="00B050"/>
          <w:sz w:val="24"/>
          <w:szCs w:val="24"/>
        </w:rPr>
        <w:t xml:space="preserve">  </w:t>
      </w:r>
      <w:r w:rsidRPr="009C5249">
        <w:rPr>
          <w:rFonts w:ascii="Arial" w:hAnsi="Arial" w:cs="Arial"/>
          <w:sz w:val="24"/>
          <w:szCs w:val="24"/>
        </w:rPr>
        <w:t>Date of access: 10 May 2021.</w:t>
      </w:r>
    </w:p>
    <w:p w:rsidR="0000752E" w:rsidRPr="00277541" w:rsidRDefault="0000752E" w:rsidP="00105F35">
      <w:pPr>
        <w:spacing w:line="360" w:lineRule="auto"/>
        <w:rPr>
          <w:rFonts w:ascii="Arial" w:hAnsi="Arial" w:cs="Arial"/>
          <w:sz w:val="24"/>
          <w:szCs w:val="24"/>
        </w:rPr>
      </w:pPr>
      <w:r w:rsidRPr="00277541">
        <w:rPr>
          <w:rFonts w:ascii="Arial" w:hAnsi="Arial" w:cs="Arial"/>
          <w:sz w:val="24"/>
          <w:szCs w:val="24"/>
        </w:rPr>
        <w:t xml:space="preserve">The South African Labour Guide.  2021.  Discipline and Dismissal.  </w:t>
      </w:r>
      <w:hyperlink r:id="rId17" w:history="1">
        <w:r w:rsidRPr="00544909">
          <w:rPr>
            <w:rStyle w:val="Hyperlink"/>
            <w:rFonts w:ascii="Arial" w:hAnsi="Arial" w:cs="Arial"/>
            <w:sz w:val="24"/>
            <w:szCs w:val="24"/>
          </w:rPr>
          <w:t>https://www.labourguide.co.za/discipline-dismissal/680-the-transgression</w:t>
        </w:r>
      </w:hyperlink>
      <w:r>
        <w:rPr>
          <w:rFonts w:ascii="Arial" w:hAnsi="Arial" w:cs="Arial"/>
          <w:sz w:val="24"/>
          <w:szCs w:val="24"/>
        </w:rPr>
        <w:t xml:space="preserve"> </w:t>
      </w:r>
      <w:r w:rsidRPr="00277541">
        <w:rPr>
          <w:rFonts w:ascii="Arial" w:hAnsi="Arial" w:cs="Arial"/>
          <w:sz w:val="24"/>
          <w:szCs w:val="24"/>
        </w:rPr>
        <w:t xml:space="preserve"> Date of access: 06 May 2021.</w:t>
      </w:r>
    </w:p>
    <w:sectPr w:rsidR="0000752E" w:rsidRPr="00277541" w:rsidSect="006F2D8D">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BDD" w:rsidRDefault="009D4BDD" w:rsidP="006F2D8D">
      <w:pPr>
        <w:spacing w:after="0" w:line="240" w:lineRule="auto"/>
      </w:pPr>
      <w:r>
        <w:separator/>
      </w:r>
    </w:p>
  </w:endnote>
  <w:endnote w:type="continuationSeparator" w:id="0">
    <w:p w:rsidR="009D4BDD" w:rsidRDefault="009D4BDD" w:rsidP="006F2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978666"/>
      <w:docPartObj>
        <w:docPartGallery w:val="Page Numbers (Bottom of Page)"/>
        <w:docPartUnique/>
      </w:docPartObj>
    </w:sdtPr>
    <w:sdtEndPr>
      <w:rPr>
        <w:noProof/>
      </w:rPr>
    </w:sdtEndPr>
    <w:sdtContent>
      <w:p w:rsidR="006F2D8D" w:rsidRDefault="006F2D8D">
        <w:pPr>
          <w:pStyle w:val="Footer"/>
          <w:jc w:val="right"/>
        </w:pPr>
        <w:r>
          <w:fldChar w:fldCharType="begin"/>
        </w:r>
        <w:r>
          <w:instrText xml:space="preserve"> PAGE   \* MERGEFORMAT </w:instrText>
        </w:r>
        <w:r>
          <w:fldChar w:fldCharType="separate"/>
        </w:r>
        <w:r w:rsidR="0055129F">
          <w:rPr>
            <w:noProof/>
          </w:rPr>
          <w:t>11</w:t>
        </w:r>
        <w:r>
          <w:rPr>
            <w:noProof/>
          </w:rPr>
          <w:fldChar w:fldCharType="end"/>
        </w:r>
      </w:p>
    </w:sdtContent>
  </w:sdt>
  <w:p w:rsidR="006F2D8D" w:rsidRDefault="006F2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BDD" w:rsidRDefault="009D4BDD" w:rsidP="006F2D8D">
      <w:pPr>
        <w:spacing w:after="0" w:line="240" w:lineRule="auto"/>
      </w:pPr>
      <w:r>
        <w:separator/>
      </w:r>
    </w:p>
  </w:footnote>
  <w:footnote w:type="continuationSeparator" w:id="0">
    <w:p w:rsidR="009D4BDD" w:rsidRDefault="009D4BDD" w:rsidP="006F2D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94AC9"/>
    <w:multiLevelType w:val="hybridMultilevel"/>
    <w:tmpl w:val="A476EC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49376C"/>
    <w:multiLevelType w:val="hybridMultilevel"/>
    <w:tmpl w:val="B2642F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934"/>
    <w:rsid w:val="0000752E"/>
    <w:rsid w:val="00044C8A"/>
    <w:rsid w:val="00070084"/>
    <w:rsid w:val="00094F59"/>
    <w:rsid w:val="000B0C46"/>
    <w:rsid w:val="000D4558"/>
    <w:rsid w:val="000D4F9F"/>
    <w:rsid w:val="000F6D0C"/>
    <w:rsid w:val="00105F35"/>
    <w:rsid w:val="00130D53"/>
    <w:rsid w:val="00137214"/>
    <w:rsid w:val="0014285D"/>
    <w:rsid w:val="0017611A"/>
    <w:rsid w:val="001A20E7"/>
    <w:rsid w:val="001A7575"/>
    <w:rsid w:val="001F6C5B"/>
    <w:rsid w:val="002004D6"/>
    <w:rsid w:val="002038AA"/>
    <w:rsid w:val="0022194B"/>
    <w:rsid w:val="00226C71"/>
    <w:rsid w:val="00236531"/>
    <w:rsid w:val="00244D5D"/>
    <w:rsid w:val="002504DF"/>
    <w:rsid w:val="00254BCC"/>
    <w:rsid w:val="0026090E"/>
    <w:rsid w:val="002712C9"/>
    <w:rsid w:val="0027152A"/>
    <w:rsid w:val="00277541"/>
    <w:rsid w:val="002A2D7F"/>
    <w:rsid w:val="002A5ED1"/>
    <w:rsid w:val="002B67A8"/>
    <w:rsid w:val="002F5FB1"/>
    <w:rsid w:val="002F67CF"/>
    <w:rsid w:val="002F6F6E"/>
    <w:rsid w:val="002F7C1B"/>
    <w:rsid w:val="00300618"/>
    <w:rsid w:val="00305069"/>
    <w:rsid w:val="00343D57"/>
    <w:rsid w:val="003673AB"/>
    <w:rsid w:val="00372D5D"/>
    <w:rsid w:val="00374F3D"/>
    <w:rsid w:val="003C758D"/>
    <w:rsid w:val="003D6483"/>
    <w:rsid w:val="003E14C7"/>
    <w:rsid w:val="00423084"/>
    <w:rsid w:val="0042769E"/>
    <w:rsid w:val="0043239A"/>
    <w:rsid w:val="00433903"/>
    <w:rsid w:val="00450516"/>
    <w:rsid w:val="0045479A"/>
    <w:rsid w:val="004B316D"/>
    <w:rsid w:val="004B6934"/>
    <w:rsid w:val="004D337D"/>
    <w:rsid w:val="004D4E48"/>
    <w:rsid w:val="004D65F1"/>
    <w:rsid w:val="004D7972"/>
    <w:rsid w:val="004E35F6"/>
    <w:rsid w:val="004F139D"/>
    <w:rsid w:val="004F7E99"/>
    <w:rsid w:val="0053782A"/>
    <w:rsid w:val="0055129F"/>
    <w:rsid w:val="00553E2F"/>
    <w:rsid w:val="00567E06"/>
    <w:rsid w:val="0057071C"/>
    <w:rsid w:val="00577BFD"/>
    <w:rsid w:val="00590462"/>
    <w:rsid w:val="00596192"/>
    <w:rsid w:val="005A5697"/>
    <w:rsid w:val="00616E39"/>
    <w:rsid w:val="00627E56"/>
    <w:rsid w:val="00635203"/>
    <w:rsid w:val="00663E28"/>
    <w:rsid w:val="00695B44"/>
    <w:rsid w:val="006D5F9D"/>
    <w:rsid w:val="006D61B1"/>
    <w:rsid w:val="006F2D8D"/>
    <w:rsid w:val="00706420"/>
    <w:rsid w:val="00710952"/>
    <w:rsid w:val="0071688C"/>
    <w:rsid w:val="00722BE5"/>
    <w:rsid w:val="00732D74"/>
    <w:rsid w:val="007509A5"/>
    <w:rsid w:val="00755346"/>
    <w:rsid w:val="00763748"/>
    <w:rsid w:val="007740DB"/>
    <w:rsid w:val="0082072B"/>
    <w:rsid w:val="008257E7"/>
    <w:rsid w:val="00876F20"/>
    <w:rsid w:val="00886B91"/>
    <w:rsid w:val="008A62C7"/>
    <w:rsid w:val="00904124"/>
    <w:rsid w:val="00905FD3"/>
    <w:rsid w:val="009066A2"/>
    <w:rsid w:val="009B3259"/>
    <w:rsid w:val="009C5249"/>
    <w:rsid w:val="009C72DD"/>
    <w:rsid w:val="009D4BDD"/>
    <w:rsid w:val="009E4D18"/>
    <w:rsid w:val="009F6D77"/>
    <w:rsid w:val="00A073E6"/>
    <w:rsid w:val="00A23C83"/>
    <w:rsid w:val="00A5043E"/>
    <w:rsid w:val="00A50F99"/>
    <w:rsid w:val="00A74E70"/>
    <w:rsid w:val="00A830DE"/>
    <w:rsid w:val="00A9417A"/>
    <w:rsid w:val="00AA68B3"/>
    <w:rsid w:val="00AC0161"/>
    <w:rsid w:val="00AD5AD3"/>
    <w:rsid w:val="00B5590A"/>
    <w:rsid w:val="00B71E5B"/>
    <w:rsid w:val="00B8140F"/>
    <w:rsid w:val="00C261EE"/>
    <w:rsid w:val="00C30297"/>
    <w:rsid w:val="00C33D55"/>
    <w:rsid w:val="00C3415D"/>
    <w:rsid w:val="00C46E83"/>
    <w:rsid w:val="00C705DC"/>
    <w:rsid w:val="00CA04CE"/>
    <w:rsid w:val="00CB0FB2"/>
    <w:rsid w:val="00CB699A"/>
    <w:rsid w:val="00CC12F0"/>
    <w:rsid w:val="00CC2C75"/>
    <w:rsid w:val="00CC4A3E"/>
    <w:rsid w:val="00CC4E53"/>
    <w:rsid w:val="00CD0324"/>
    <w:rsid w:val="00CE5DD2"/>
    <w:rsid w:val="00D1506E"/>
    <w:rsid w:val="00D23BA4"/>
    <w:rsid w:val="00D2488D"/>
    <w:rsid w:val="00D33D63"/>
    <w:rsid w:val="00D570A4"/>
    <w:rsid w:val="00D64597"/>
    <w:rsid w:val="00D825F5"/>
    <w:rsid w:val="00D92FCC"/>
    <w:rsid w:val="00D944EF"/>
    <w:rsid w:val="00DF4709"/>
    <w:rsid w:val="00E41320"/>
    <w:rsid w:val="00E66107"/>
    <w:rsid w:val="00E8153A"/>
    <w:rsid w:val="00E96F39"/>
    <w:rsid w:val="00EA0DA5"/>
    <w:rsid w:val="00F07670"/>
    <w:rsid w:val="00F317C5"/>
    <w:rsid w:val="00F32C3B"/>
    <w:rsid w:val="00F72F4B"/>
    <w:rsid w:val="00F75A33"/>
    <w:rsid w:val="00FA0CB0"/>
    <w:rsid w:val="00FD3F26"/>
    <w:rsid w:val="00FE4CC0"/>
    <w:rsid w:val="00FF1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C4953-D696-4D35-AA55-96700228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69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94F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93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B6934"/>
    <w:pPr>
      <w:outlineLvl w:val="9"/>
    </w:pPr>
    <w:rPr>
      <w:lang w:val="en-US"/>
    </w:rPr>
  </w:style>
  <w:style w:type="character" w:styleId="Hyperlink">
    <w:name w:val="Hyperlink"/>
    <w:basedOn w:val="DefaultParagraphFont"/>
    <w:uiPriority w:val="99"/>
    <w:unhideWhenUsed/>
    <w:rsid w:val="00590462"/>
    <w:rPr>
      <w:color w:val="0563C1" w:themeColor="hyperlink"/>
      <w:u w:val="single"/>
    </w:rPr>
  </w:style>
  <w:style w:type="paragraph" w:styleId="ListParagraph">
    <w:name w:val="List Paragraph"/>
    <w:basedOn w:val="Normal"/>
    <w:uiPriority w:val="34"/>
    <w:qFormat/>
    <w:rsid w:val="002712C9"/>
    <w:pPr>
      <w:ind w:left="720"/>
      <w:contextualSpacing/>
    </w:pPr>
  </w:style>
  <w:style w:type="character" w:customStyle="1" w:styleId="Heading2Char">
    <w:name w:val="Heading 2 Char"/>
    <w:basedOn w:val="DefaultParagraphFont"/>
    <w:link w:val="Heading2"/>
    <w:uiPriority w:val="9"/>
    <w:rsid w:val="00094F59"/>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53782A"/>
    <w:pPr>
      <w:spacing w:after="100"/>
    </w:pPr>
  </w:style>
  <w:style w:type="paragraph" w:styleId="TOC2">
    <w:name w:val="toc 2"/>
    <w:basedOn w:val="Normal"/>
    <w:next w:val="Normal"/>
    <w:autoRedefine/>
    <w:uiPriority w:val="39"/>
    <w:unhideWhenUsed/>
    <w:rsid w:val="0053782A"/>
    <w:pPr>
      <w:spacing w:after="100"/>
      <w:ind w:left="220"/>
    </w:pPr>
  </w:style>
  <w:style w:type="paragraph" w:styleId="Header">
    <w:name w:val="header"/>
    <w:basedOn w:val="Normal"/>
    <w:link w:val="HeaderChar"/>
    <w:uiPriority w:val="99"/>
    <w:unhideWhenUsed/>
    <w:rsid w:val="006F2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D8D"/>
  </w:style>
  <w:style w:type="paragraph" w:styleId="Footer">
    <w:name w:val="footer"/>
    <w:basedOn w:val="Normal"/>
    <w:link w:val="FooterChar"/>
    <w:uiPriority w:val="99"/>
    <w:unhideWhenUsed/>
    <w:rsid w:val="006F2D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D8D"/>
  </w:style>
  <w:style w:type="character" w:styleId="FollowedHyperlink">
    <w:name w:val="FollowedHyperlink"/>
    <w:basedOn w:val="DefaultParagraphFont"/>
    <w:uiPriority w:val="99"/>
    <w:semiHidden/>
    <w:unhideWhenUsed/>
    <w:rsid w:val="00695B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ev.labourguide.co.za/most-recent/1866-insubordinate-or-insolent-behaviour-will-get-you-dismisse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sc.sa.gov.au/" TargetMode="External"/><Relationship Id="rId17" Type="http://schemas.openxmlformats.org/officeDocument/2006/relationships/hyperlink" Target="https://www.labourguide.co.za/discipline-dismissal/680-the-transgression" TargetMode="External"/><Relationship Id="rId2" Type="http://schemas.openxmlformats.org/officeDocument/2006/relationships/numbering" Target="numbering.xml"/><Relationship Id="rId16" Type="http://schemas.openxmlformats.org/officeDocument/2006/relationships/hyperlink" Target="https://legal-dictionary.thefreedictionary.com/witn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gov.za/labourcourt/jdgm-lbc/2016lab/2016-JR1906-14.pdf" TargetMode="External"/><Relationship Id="rId5" Type="http://schemas.openxmlformats.org/officeDocument/2006/relationships/webSettings" Target="webSettings.xml"/><Relationship Id="rId15" Type="http://schemas.openxmlformats.org/officeDocument/2006/relationships/hyperlink" Target="http://www.statssa.gov.za/publications/Report-00-80-03/Presentation%20Impact%20of%20COVID-19%20-%2020%20May%202020.pdf" TargetMode="External"/><Relationship Id="rId10" Type="http://schemas.openxmlformats.org/officeDocument/2006/relationships/hyperlink" Target="https://www.brighthr.com/articles/employee-conduct/serious-insubordination-at-wor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hyperlink" Target="http://www.statssa.gov.za/publications/P0318/P0318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B865F10-A3A6-47B6-AA34-8D3A64C4F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2279</TotalTime>
  <Pages>11</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Mazibuko</dc:creator>
  <cp:keywords/>
  <dc:description/>
  <cp:lastModifiedBy>Ntokozo Mazibuko</cp:lastModifiedBy>
  <cp:revision>146</cp:revision>
  <dcterms:created xsi:type="dcterms:W3CDTF">2021-05-07T15:36:00Z</dcterms:created>
  <dcterms:modified xsi:type="dcterms:W3CDTF">2021-05-10T12:35:00Z</dcterms:modified>
</cp:coreProperties>
</file>